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318" w:type="dxa"/>
        <w:tblLayout w:type="fixed"/>
        <w:tblLook w:val="01E0" w:firstRow="1" w:lastRow="1" w:firstColumn="1" w:lastColumn="1" w:noHBand="0" w:noVBand="0"/>
      </w:tblPr>
      <w:tblGrid>
        <w:gridCol w:w="1844"/>
        <w:gridCol w:w="8080"/>
      </w:tblGrid>
      <w:tr w:rsidR="00BD6FC0" w:rsidRPr="0038145D" w14:paraId="1A71C670" w14:textId="77777777" w:rsidTr="003D3C25">
        <w:trPr>
          <w:trHeight w:val="1985"/>
        </w:trPr>
        <w:tc>
          <w:tcPr>
            <w:tcW w:w="1844" w:type="dxa"/>
            <w:shd w:val="clear" w:color="auto" w:fill="auto"/>
            <w:vAlign w:val="center"/>
          </w:tcPr>
          <w:p w14:paraId="4A23C025" w14:textId="77777777" w:rsidR="00BD6FC0" w:rsidRPr="0038145D" w:rsidRDefault="00BD6FC0" w:rsidP="003D3C25">
            <w:pPr>
              <w:jc w:val="center"/>
              <w:rPr>
                <w:b/>
                <w:szCs w:val="28"/>
              </w:rPr>
            </w:pPr>
            <w:r w:rsidRPr="008F0025">
              <w:rPr>
                <w:noProof/>
                <w:szCs w:val="28"/>
                <w:lang w:val="en-US"/>
              </w:rPr>
              <w:drawing>
                <wp:inline distT="0" distB="0" distL="0" distR="0" wp14:anchorId="14ED8DFA" wp14:editId="786C5B0D">
                  <wp:extent cx="695325" cy="95250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Rot="1" noChangeAspect="1" noEditPoints="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p>
        </w:tc>
        <w:tc>
          <w:tcPr>
            <w:tcW w:w="8080" w:type="dxa"/>
            <w:shd w:val="clear" w:color="auto" w:fill="auto"/>
          </w:tcPr>
          <w:p w14:paraId="588F1F96" w14:textId="77777777" w:rsidR="00BD6FC0" w:rsidRPr="00565684" w:rsidRDefault="00BD6FC0" w:rsidP="003D3C25">
            <w:pPr>
              <w:spacing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05BB96A9" w14:textId="77777777" w:rsidR="00BD6FC0" w:rsidRDefault="00BD6FC0" w:rsidP="003D3C25">
            <w:pPr>
              <w:tabs>
                <w:tab w:val="left" w:pos="476"/>
              </w:tabs>
              <w:jc w:val="center"/>
              <w:rPr>
                <w:b/>
                <w:bCs/>
                <w:szCs w:val="28"/>
              </w:rPr>
            </w:pPr>
            <w:r w:rsidRPr="0038145D">
              <w:rPr>
                <w:b/>
                <w:bCs/>
                <w:szCs w:val="28"/>
              </w:rPr>
              <w:t>THÔNG TIN BÁO CHÍ</w:t>
            </w:r>
          </w:p>
          <w:p w14:paraId="088F8AB8" w14:textId="77777777" w:rsidR="00BD6FC0" w:rsidRDefault="00BD6FC0" w:rsidP="003D3C25">
            <w:pPr>
              <w:rPr>
                <w:sz w:val="20"/>
                <w:szCs w:val="20"/>
              </w:rPr>
            </w:pPr>
          </w:p>
          <w:p w14:paraId="05C9669A" w14:textId="0D59BE5C" w:rsidR="00BD6FC0" w:rsidRPr="002745E0" w:rsidRDefault="00BD6FC0" w:rsidP="00BD6FC0">
            <w:pPr>
              <w:jc w:val="center"/>
            </w:pPr>
            <w:r w:rsidRPr="00FE753D">
              <w:rPr>
                <w:i/>
                <w:szCs w:val="28"/>
                <w:lang w:val="vi-VN"/>
              </w:rPr>
              <w:t xml:space="preserve">Hà Nội, ngày </w:t>
            </w:r>
            <w:r w:rsidR="00567FE5">
              <w:rPr>
                <w:i/>
                <w:szCs w:val="28"/>
                <w:lang w:val="en-US"/>
              </w:rPr>
              <w:t>16</w:t>
            </w:r>
            <w:r w:rsidRPr="00FE753D">
              <w:rPr>
                <w:i/>
                <w:szCs w:val="28"/>
                <w:lang w:val="vi-VN"/>
              </w:rPr>
              <w:t xml:space="preserve"> tháng </w:t>
            </w:r>
            <w:r w:rsidR="00ED4E6E">
              <w:rPr>
                <w:i/>
                <w:szCs w:val="28"/>
                <w:lang w:val="en-US"/>
              </w:rPr>
              <w:t>11</w:t>
            </w:r>
            <w:r w:rsidRPr="00FE753D">
              <w:rPr>
                <w:i/>
                <w:szCs w:val="28"/>
                <w:lang w:val="vi-VN"/>
              </w:rPr>
              <w:t xml:space="preserve"> năm 2020</w:t>
            </w:r>
          </w:p>
        </w:tc>
      </w:tr>
    </w:tbl>
    <w:p w14:paraId="2AEFC240" w14:textId="77777777" w:rsidR="00567FE5" w:rsidRDefault="003837FE" w:rsidP="003837FE">
      <w:pPr>
        <w:jc w:val="center"/>
        <w:rPr>
          <w:b/>
          <w:szCs w:val="28"/>
        </w:rPr>
      </w:pPr>
      <w:r w:rsidRPr="003837FE">
        <w:rPr>
          <w:b/>
          <w:szCs w:val="28"/>
        </w:rPr>
        <w:t>THÔNG TIN NHANH VỀ TÌNH HÌNH ẢNH HƯỞNG BÃO SỐ</w:t>
      </w:r>
      <w:r w:rsidR="00567FE5">
        <w:rPr>
          <w:b/>
          <w:szCs w:val="28"/>
        </w:rPr>
        <w:t xml:space="preserve"> 13</w:t>
      </w:r>
    </w:p>
    <w:p w14:paraId="7F05DD29" w14:textId="44B0FEB5" w:rsidR="003837FE" w:rsidRPr="003837FE" w:rsidRDefault="00567FE5" w:rsidP="00567FE5">
      <w:pPr>
        <w:jc w:val="center"/>
        <w:rPr>
          <w:b/>
          <w:szCs w:val="28"/>
        </w:rPr>
      </w:pPr>
      <w:r>
        <w:rPr>
          <w:b/>
          <w:szCs w:val="28"/>
        </w:rPr>
        <w:t xml:space="preserve"> (BÃO VAMCO)</w:t>
      </w:r>
      <w:r w:rsidR="003837FE" w:rsidRPr="003837FE">
        <w:rPr>
          <w:b/>
          <w:szCs w:val="28"/>
        </w:rPr>
        <w:t xml:space="preserve"> ĐẾN VẬN HÀNH NGUỒN VÀ LƯỚI ĐIỆN KHU VỰC </w:t>
      </w:r>
    </w:p>
    <w:p w14:paraId="183E21A7" w14:textId="24D41EAC" w:rsidR="0097641A" w:rsidRPr="003837FE" w:rsidRDefault="003837FE" w:rsidP="003837FE">
      <w:pPr>
        <w:snapToGrid w:val="0"/>
        <w:spacing w:line="240" w:lineRule="auto"/>
        <w:jc w:val="center"/>
        <w:rPr>
          <w:b/>
          <w:szCs w:val="28"/>
        </w:rPr>
      </w:pPr>
      <w:r w:rsidRPr="003837FE">
        <w:rPr>
          <w:b/>
          <w:szCs w:val="28"/>
        </w:rPr>
        <w:t>MIỀN TRUNG</w:t>
      </w:r>
      <w:r w:rsidR="00FF6A4D">
        <w:rPr>
          <w:b/>
          <w:szCs w:val="28"/>
          <w:lang w:val="en-US"/>
        </w:rPr>
        <w:t xml:space="preserve"> </w:t>
      </w:r>
      <w:r w:rsidRPr="003837FE">
        <w:rPr>
          <w:b/>
          <w:szCs w:val="28"/>
        </w:rPr>
        <w:t xml:space="preserve">NGÀY </w:t>
      </w:r>
      <w:r w:rsidR="00FF6A4D">
        <w:rPr>
          <w:b/>
          <w:szCs w:val="28"/>
          <w:lang w:val="vi-VN"/>
        </w:rPr>
        <w:t>16</w:t>
      </w:r>
      <w:r w:rsidR="00ED4E6E">
        <w:rPr>
          <w:b/>
          <w:szCs w:val="28"/>
        </w:rPr>
        <w:t>/11</w:t>
      </w:r>
      <w:r w:rsidRPr="003837FE">
        <w:rPr>
          <w:b/>
          <w:szCs w:val="28"/>
        </w:rPr>
        <w:t>/2020</w:t>
      </w:r>
    </w:p>
    <w:p w14:paraId="38B72451" w14:textId="77777777" w:rsidR="003837FE" w:rsidRDefault="003837FE" w:rsidP="003837FE">
      <w:pPr>
        <w:snapToGrid w:val="0"/>
        <w:spacing w:line="240" w:lineRule="auto"/>
        <w:jc w:val="center"/>
        <w:rPr>
          <w:b/>
          <w:bCs/>
          <w:szCs w:val="28"/>
        </w:rPr>
      </w:pPr>
    </w:p>
    <w:p w14:paraId="2CB8986E" w14:textId="674FC89A" w:rsidR="0097641A" w:rsidRDefault="0097641A" w:rsidP="00FF6A4D">
      <w:pPr>
        <w:snapToGrid w:val="0"/>
        <w:spacing w:after="120" w:line="360" w:lineRule="auto"/>
        <w:ind w:firstLine="426"/>
        <w:jc w:val="both"/>
        <w:rPr>
          <w:lang w:val="vi-VN"/>
        </w:rPr>
      </w:pPr>
      <w:r w:rsidRPr="00085B86">
        <w:rPr>
          <w:lang w:val="vi-VN"/>
        </w:rPr>
        <w:t xml:space="preserve">EVN </w:t>
      </w:r>
      <w:r w:rsidR="003837FE">
        <w:rPr>
          <w:rFonts w:cs="Times New Roman"/>
          <w:szCs w:val="28"/>
          <w:lang w:val="en-US"/>
        </w:rPr>
        <w:t>cập nhật đ</w:t>
      </w:r>
      <w:r w:rsidR="003837FE">
        <w:rPr>
          <w:rFonts w:cs="Times New Roman"/>
          <w:szCs w:val="28"/>
          <w:lang w:val="vi-VN"/>
        </w:rPr>
        <w:t>ến</w:t>
      </w:r>
      <w:r w:rsidR="003837FE">
        <w:rPr>
          <w:rFonts w:cs="Times New Roman"/>
          <w:szCs w:val="28"/>
          <w:lang w:val="en-US"/>
        </w:rPr>
        <w:t xml:space="preserve"> thời điểm</w:t>
      </w:r>
      <w:r w:rsidR="00344FED">
        <w:rPr>
          <w:rFonts w:cs="Times New Roman"/>
          <w:szCs w:val="28"/>
          <w:lang w:val="vi-VN"/>
        </w:rPr>
        <w:t xml:space="preserve"> </w:t>
      </w:r>
      <w:r w:rsidR="00E44370">
        <w:rPr>
          <w:rFonts w:cs="Times New Roman"/>
          <w:szCs w:val="28"/>
          <w:lang w:val="en-US"/>
        </w:rPr>
        <w:t>chiều</w:t>
      </w:r>
      <w:r w:rsidR="00567FE5">
        <w:rPr>
          <w:rFonts w:cs="Times New Roman"/>
          <w:szCs w:val="28"/>
          <w:lang w:val="vi-VN"/>
        </w:rPr>
        <w:t xml:space="preserve"> ngày  16</w:t>
      </w:r>
      <w:r w:rsidR="00344FED">
        <w:rPr>
          <w:rFonts w:cs="Times New Roman"/>
          <w:szCs w:val="28"/>
          <w:lang w:val="vi-VN"/>
        </w:rPr>
        <w:t>/11</w:t>
      </w:r>
      <w:r w:rsidR="003837FE">
        <w:rPr>
          <w:rFonts w:cs="Times New Roman"/>
          <w:szCs w:val="28"/>
          <w:lang w:val="vi-VN"/>
        </w:rPr>
        <w:t>/2020 khu vực bị ảnh hưởng bão số</w:t>
      </w:r>
      <w:r w:rsidR="00567FE5">
        <w:rPr>
          <w:rFonts w:cs="Times New Roman"/>
          <w:szCs w:val="28"/>
          <w:lang w:val="vi-VN"/>
        </w:rPr>
        <w:t xml:space="preserve"> 13</w:t>
      </w:r>
      <w:r w:rsidR="00567FE5">
        <w:rPr>
          <w:rFonts w:cs="Times New Roman"/>
          <w:szCs w:val="28"/>
          <w:lang w:val="en-US"/>
        </w:rPr>
        <w:t xml:space="preserve"> (VAMCO</w:t>
      </w:r>
      <w:r w:rsidR="00E44370">
        <w:rPr>
          <w:rFonts w:cs="Times New Roman"/>
          <w:szCs w:val="28"/>
          <w:lang w:val="en-US"/>
        </w:rPr>
        <w:t>)</w:t>
      </w:r>
      <w:r w:rsidRPr="00085B86">
        <w:rPr>
          <w:lang w:val="vi-VN"/>
        </w:rPr>
        <w:t xml:space="preserve"> như sau: </w:t>
      </w:r>
    </w:p>
    <w:p w14:paraId="4692D96C" w14:textId="104B119F" w:rsidR="00E44370" w:rsidRPr="00E44370" w:rsidRDefault="00E44370" w:rsidP="00FF6A4D">
      <w:pPr>
        <w:pStyle w:val="ListParagraph"/>
        <w:numPr>
          <w:ilvl w:val="0"/>
          <w:numId w:val="2"/>
        </w:numPr>
        <w:spacing w:line="360" w:lineRule="auto"/>
        <w:ind w:left="0" w:firstLine="360"/>
        <w:jc w:val="both"/>
        <w:rPr>
          <w:b/>
          <w:bCs/>
          <w:szCs w:val="28"/>
        </w:rPr>
      </w:pPr>
      <w:r w:rsidRPr="00E44370">
        <w:rPr>
          <w:b/>
          <w:bCs/>
          <w:szCs w:val="28"/>
          <w:lang w:val="en-US"/>
        </w:rPr>
        <w:t>Vận hành các hồ thủy điện miề</w:t>
      </w:r>
      <w:r w:rsidR="00567FE5">
        <w:rPr>
          <w:b/>
          <w:bCs/>
          <w:szCs w:val="28"/>
          <w:lang w:val="en-US"/>
        </w:rPr>
        <w:t>n Trung</w:t>
      </w:r>
      <w:r w:rsidRPr="00E44370">
        <w:rPr>
          <w:b/>
          <w:bCs/>
          <w:szCs w:val="28"/>
          <w:lang w:val="en-US"/>
        </w:rPr>
        <w:t xml:space="preserve">: </w:t>
      </w:r>
    </w:p>
    <w:p w14:paraId="5DEF292E" w14:textId="4C121D7E" w:rsidR="00E44370" w:rsidRDefault="00E44370" w:rsidP="00FF6A4D">
      <w:pPr>
        <w:spacing w:line="360" w:lineRule="auto"/>
        <w:ind w:firstLine="360"/>
        <w:jc w:val="both"/>
        <w:rPr>
          <w:rFonts w:cs="Times New Roman"/>
          <w:szCs w:val="28"/>
          <w:lang w:val="vi-VN"/>
        </w:rPr>
      </w:pPr>
      <w:r w:rsidRPr="00E44370">
        <w:rPr>
          <w:szCs w:val="28"/>
          <w:lang w:val="en-US"/>
        </w:rPr>
        <w:t>Hiện nay</w:t>
      </w:r>
      <w:r w:rsidR="00567FE5">
        <w:rPr>
          <w:szCs w:val="28"/>
          <w:lang w:val="en-US"/>
        </w:rPr>
        <w:t xml:space="preserve"> nước vẫn tiếp tục</w:t>
      </w:r>
      <w:r w:rsidRPr="00E44370">
        <w:rPr>
          <w:szCs w:val="28"/>
          <w:lang w:val="en-US"/>
        </w:rPr>
        <w:t xml:space="preserve"> </w:t>
      </w:r>
      <w:r w:rsidR="00567FE5">
        <w:rPr>
          <w:szCs w:val="28"/>
          <w:lang w:val="en-US"/>
        </w:rPr>
        <w:t>các hồ thủy điện thuộc EVN tại khu vực miền Trung. Tuy nhiên, do đã dự bão từ trước nên các hồ</w:t>
      </w:r>
      <w:r w:rsidR="00711F7F">
        <w:rPr>
          <w:szCs w:val="28"/>
          <w:lang w:val="en-US"/>
        </w:rPr>
        <w:t xml:space="preserve"> thủy điện</w:t>
      </w:r>
      <w:r w:rsidR="00567FE5">
        <w:rPr>
          <w:szCs w:val="28"/>
          <w:lang w:val="en-US"/>
        </w:rPr>
        <w:t xml:space="preserve"> này đang làm tốt công tác cắt lũ về hạ du. </w:t>
      </w:r>
      <w:r w:rsidR="00567FE5">
        <w:rPr>
          <w:rFonts w:cs="Times New Roman"/>
          <w:szCs w:val="28"/>
          <w:lang w:val="en-US"/>
        </w:rPr>
        <w:t>Danh sách các hồ đang xả với lưu lượng tương ứng như sau</w:t>
      </w:r>
      <w:r w:rsidR="00567FE5">
        <w:rPr>
          <w:rFonts w:cs="Times New Roman"/>
          <w:szCs w:val="28"/>
          <w:lang w:val="vi-VN"/>
        </w:rPr>
        <w:t>:</w:t>
      </w:r>
    </w:p>
    <w:p w14:paraId="7D88378D" w14:textId="77777777" w:rsidR="006C651B" w:rsidRDefault="006C651B" w:rsidP="00E44370">
      <w:pPr>
        <w:ind w:firstLine="360"/>
        <w:jc w:val="both"/>
        <w:rPr>
          <w:rFonts w:cs="Times New Roman"/>
          <w:szCs w:val="28"/>
          <w:lang w:val="vi-VN"/>
        </w:rPr>
      </w:pPr>
    </w:p>
    <w:tbl>
      <w:tblPr>
        <w:tblW w:w="47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843"/>
        <w:gridCol w:w="1843"/>
        <w:gridCol w:w="1556"/>
        <w:gridCol w:w="1985"/>
      </w:tblGrid>
      <w:tr w:rsidR="006C651B" w:rsidRPr="00091779" w14:paraId="5A682B72" w14:textId="77777777" w:rsidTr="006C651B">
        <w:trPr>
          <w:trHeight w:val="300"/>
          <w:tblHeader/>
          <w:jc w:val="center"/>
        </w:trPr>
        <w:tc>
          <w:tcPr>
            <w:tcW w:w="886" w:type="pct"/>
            <w:vMerge w:val="restart"/>
            <w:shd w:val="clear" w:color="auto" w:fill="auto"/>
            <w:vAlign w:val="center"/>
            <w:hideMark/>
          </w:tcPr>
          <w:p w14:paraId="70D552EB" w14:textId="77777777" w:rsidR="006C651B" w:rsidRPr="00091779" w:rsidRDefault="006C651B" w:rsidP="005A1846">
            <w:pPr>
              <w:jc w:val="center"/>
              <w:rPr>
                <w:b/>
                <w:bCs/>
                <w:color w:val="000000"/>
                <w:sz w:val="22"/>
              </w:rPr>
            </w:pPr>
            <w:r w:rsidRPr="00091779">
              <w:rPr>
                <w:b/>
                <w:bCs/>
                <w:color w:val="000000"/>
                <w:sz w:val="22"/>
              </w:rPr>
              <w:t>Tên hồ</w:t>
            </w:r>
          </w:p>
        </w:tc>
        <w:tc>
          <w:tcPr>
            <w:tcW w:w="1049" w:type="pct"/>
            <w:vMerge w:val="restart"/>
            <w:shd w:val="clear" w:color="auto" w:fill="auto"/>
            <w:vAlign w:val="center"/>
            <w:hideMark/>
          </w:tcPr>
          <w:p w14:paraId="551E18F6" w14:textId="36A776BA" w:rsidR="006C651B" w:rsidRPr="006C651B" w:rsidRDefault="006C651B" w:rsidP="006C651B">
            <w:pPr>
              <w:jc w:val="center"/>
              <w:rPr>
                <w:b/>
                <w:bCs/>
                <w:color w:val="000000"/>
                <w:sz w:val="22"/>
              </w:rPr>
            </w:pPr>
            <w:r>
              <w:rPr>
                <w:b/>
                <w:bCs/>
                <w:color w:val="000000"/>
                <w:sz w:val="22"/>
              </w:rPr>
              <w:t>Lưu lượng nước về hồ (m</w:t>
            </w:r>
            <w:r>
              <w:rPr>
                <w:b/>
                <w:bCs/>
                <w:color w:val="000000"/>
                <w:sz w:val="22"/>
                <w:vertAlign w:val="superscript"/>
              </w:rPr>
              <w:t>3</w:t>
            </w:r>
            <w:r>
              <w:rPr>
                <w:b/>
                <w:bCs/>
                <w:color w:val="000000"/>
                <w:sz w:val="22"/>
              </w:rPr>
              <w:t>/s)</w:t>
            </w:r>
          </w:p>
        </w:tc>
        <w:tc>
          <w:tcPr>
            <w:tcW w:w="1049" w:type="pct"/>
            <w:vMerge w:val="restart"/>
            <w:shd w:val="clear" w:color="auto" w:fill="auto"/>
            <w:vAlign w:val="center"/>
            <w:hideMark/>
          </w:tcPr>
          <w:p w14:paraId="7EB08887" w14:textId="4AF47CC0" w:rsidR="006C651B" w:rsidRPr="00091779" w:rsidRDefault="006C651B" w:rsidP="006C651B">
            <w:pPr>
              <w:jc w:val="center"/>
              <w:rPr>
                <w:b/>
                <w:bCs/>
                <w:color w:val="000000"/>
                <w:sz w:val="22"/>
              </w:rPr>
            </w:pPr>
            <w:r>
              <w:rPr>
                <w:b/>
                <w:bCs/>
                <w:color w:val="000000"/>
                <w:sz w:val="22"/>
              </w:rPr>
              <w:t>Tổng lưu lượng về hạ du (m</w:t>
            </w:r>
            <w:r>
              <w:rPr>
                <w:b/>
                <w:bCs/>
                <w:color w:val="000000"/>
                <w:sz w:val="22"/>
                <w:vertAlign w:val="superscript"/>
              </w:rPr>
              <w:t>3</w:t>
            </w:r>
            <w:r>
              <w:rPr>
                <w:b/>
                <w:bCs/>
                <w:color w:val="000000"/>
                <w:sz w:val="22"/>
              </w:rPr>
              <w:t>/s)</w:t>
            </w:r>
          </w:p>
        </w:tc>
        <w:tc>
          <w:tcPr>
            <w:tcW w:w="886" w:type="pct"/>
            <w:vMerge w:val="restart"/>
            <w:shd w:val="clear" w:color="auto" w:fill="auto"/>
            <w:vAlign w:val="center"/>
            <w:hideMark/>
          </w:tcPr>
          <w:p w14:paraId="5572AA36" w14:textId="6B86557C" w:rsidR="006C651B" w:rsidRPr="00091779" w:rsidRDefault="006C651B" w:rsidP="006C651B">
            <w:pPr>
              <w:jc w:val="center"/>
              <w:rPr>
                <w:b/>
                <w:bCs/>
                <w:color w:val="000000"/>
                <w:sz w:val="22"/>
              </w:rPr>
            </w:pPr>
            <w:r>
              <w:rPr>
                <w:b/>
                <w:bCs/>
                <w:color w:val="000000"/>
                <w:sz w:val="22"/>
              </w:rPr>
              <w:t>Lưu lượng xả tràn (m</w:t>
            </w:r>
            <w:r>
              <w:rPr>
                <w:b/>
                <w:bCs/>
                <w:color w:val="000000"/>
                <w:sz w:val="22"/>
                <w:vertAlign w:val="superscript"/>
              </w:rPr>
              <w:t>3</w:t>
            </w:r>
            <w:r>
              <w:rPr>
                <w:b/>
                <w:bCs/>
                <w:color w:val="000000"/>
                <w:sz w:val="22"/>
              </w:rPr>
              <w:t>/s)</w:t>
            </w:r>
          </w:p>
        </w:tc>
        <w:tc>
          <w:tcPr>
            <w:tcW w:w="1130" w:type="pct"/>
            <w:vMerge w:val="restart"/>
            <w:shd w:val="clear" w:color="auto" w:fill="auto"/>
            <w:vAlign w:val="center"/>
            <w:hideMark/>
          </w:tcPr>
          <w:p w14:paraId="2AF8CD88" w14:textId="1A49A7AC" w:rsidR="006C651B" w:rsidRPr="00091779" w:rsidRDefault="006C651B" w:rsidP="006C651B">
            <w:pPr>
              <w:jc w:val="center"/>
              <w:rPr>
                <w:b/>
                <w:bCs/>
                <w:color w:val="000000"/>
                <w:sz w:val="22"/>
              </w:rPr>
            </w:pPr>
            <w:r>
              <w:rPr>
                <w:b/>
                <w:bCs/>
                <w:color w:val="000000"/>
                <w:sz w:val="22"/>
              </w:rPr>
              <w:t>Lưu lượng chạy máy (m</w:t>
            </w:r>
            <w:r>
              <w:rPr>
                <w:b/>
                <w:bCs/>
                <w:color w:val="000000"/>
                <w:sz w:val="22"/>
                <w:vertAlign w:val="superscript"/>
              </w:rPr>
              <w:t>3</w:t>
            </w:r>
            <w:r>
              <w:rPr>
                <w:b/>
                <w:bCs/>
                <w:color w:val="000000"/>
                <w:sz w:val="22"/>
              </w:rPr>
              <w:t>/s)</w:t>
            </w:r>
          </w:p>
        </w:tc>
      </w:tr>
      <w:tr w:rsidR="006C651B" w:rsidRPr="00091779" w14:paraId="23F8940F" w14:textId="77777777" w:rsidTr="006C651B">
        <w:trPr>
          <w:trHeight w:val="300"/>
          <w:tblHeader/>
          <w:jc w:val="center"/>
        </w:trPr>
        <w:tc>
          <w:tcPr>
            <w:tcW w:w="886" w:type="pct"/>
            <w:vMerge/>
            <w:vAlign w:val="center"/>
            <w:hideMark/>
          </w:tcPr>
          <w:p w14:paraId="6957A8A0" w14:textId="77777777" w:rsidR="006C651B" w:rsidRPr="00091779" w:rsidRDefault="006C651B" w:rsidP="005A1846">
            <w:pPr>
              <w:rPr>
                <w:b/>
                <w:bCs/>
                <w:color w:val="000000"/>
                <w:sz w:val="22"/>
              </w:rPr>
            </w:pPr>
          </w:p>
        </w:tc>
        <w:tc>
          <w:tcPr>
            <w:tcW w:w="1049" w:type="pct"/>
            <w:vMerge/>
            <w:vAlign w:val="center"/>
            <w:hideMark/>
          </w:tcPr>
          <w:p w14:paraId="2087123F" w14:textId="77777777" w:rsidR="006C651B" w:rsidRPr="00091779" w:rsidRDefault="006C651B" w:rsidP="006C651B">
            <w:pPr>
              <w:jc w:val="center"/>
              <w:rPr>
                <w:b/>
                <w:bCs/>
                <w:color w:val="000000"/>
                <w:sz w:val="22"/>
              </w:rPr>
            </w:pPr>
          </w:p>
        </w:tc>
        <w:tc>
          <w:tcPr>
            <w:tcW w:w="1049" w:type="pct"/>
            <w:vMerge/>
            <w:vAlign w:val="center"/>
            <w:hideMark/>
          </w:tcPr>
          <w:p w14:paraId="78D3BAA6" w14:textId="77777777" w:rsidR="006C651B" w:rsidRPr="00091779" w:rsidRDefault="006C651B" w:rsidP="006C651B">
            <w:pPr>
              <w:jc w:val="center"/>
              <w:rPr>
                <w:b/>
                <w:bCs/>
                <w:color w:val="000000"/>
                <w:sz w:val="22"/>
              </w:rPr>
            </w:pPr>
          </w:p>
        </w:tc>
        <w:tc>
          <w:tcPr>
            <w:tcW w:w="886" w:type="pct"/>
            <w:vMerge/>
            <w:vAlign w:val="center"/>
            <w:hideMark/>
          </w:tcPr>
          <w:p w14:paraId="6DAC623F" w14:textId="77777777" w:rsidR="006C651B" w:rsidRPr="00091779" w:rsidRDefault="006C651B" w:rsidP="006C651B">
            <w:pPr>
              <w:jc w:val="center"/>
              <w:rPr>
                <w:b/>
                <w:bCs/>
                <w:color w:val="000000"/>
                <w:sz w:val="22"/>
              </w:rPr>
            </w:pPr>
          </w:p>
        </w:tc>
        <w:tc>
          <w:tcPr>
            <w:tcW w:w="1130" w:type="pct"/>
            <w:vMerge/>
            <w:vAlign w:val="center"/>
            <w:hideMark/>
          </w:tcPr>
          <w:p w14:paraId="0941F31E" w14:textId="77777777" w:rsidR="006C651B" w:rsidRPr="00091779" w:rsidRDefault="006C651B" w:rsidP="006C651B">
            <w:pPr>
              <w:jc w:val="center"/>
              <w:rPr>
                <w:b/>
                <w:bCs/>
                <w:color w:val="000000"/>
                <w:sz w:val="22"/>
              </w:rPr>
            </w:pPr>
          </w:p>
        </w:tc>
      </w:tr>
      <w:tr w:rsidR="006C651B" w:rsidRPr="00091779" w14:paraId="070DDEE2" w14:textId="77777777" w:rsidTr="006C651B">
        <w:trPr>
          <w:trHeight w:val="300"/>
          <w:jc w:val="center"/>
        </w:trPr>
        <w:tc>
          <w:tcPr>
            <w:tcW w:w="886" w:type="pct"/>
            <w:shd w:val="clear" w:color="auto" w:fill="auto"/>
            <w:vAlign w:val="bottom"/>
          </w:tcPr>
          <w:p w14:paraId="1254B79A" w14:textId="77777777" w:rsidR="006C651B" w:rsidRPr="0002525F" w:rsidRDefault="006C651B" w:rsidP="005A1846">
            <w:pPr>
              <w:rPr>
                <w:color w:val="000000"/>
                <w:sz w:val="22"/>
              </w:rPr>
            </w:pPr>
            <w:r w:rsidRPr="0002525F">
              <w:rPr>
                <w:color w:val="000000"/>
                <w:sz w:val="22"/>
              </w:rPr>
              <w:t>A Lưới</w:t>
            </w:r>
          </w:p>
        </w:tc>
        <w:tc>
          <w:tcPr>
            <w:tcW w:w="1049" w:type="pct"/>
            <w:shd w:val="clear" w:color="auto" w:fill="auto"/>
            <w:vAlign w:val="bottom"/>
          </w:tcPr>
          <w:p w14:paraId="5FC3C80D" w14:textId="77777777" w:rsidR="006C651B" w:rsidRPr="0002525F" w:rsidRDefault="006C651B" w:rsidP="006C651B">
            <w:pPr>
              <w:jc w:val="center"/>
              <w:rPr>
                <w:color w:val="000000"/>
                <w:sz w:val="22"/>
              </w:rPr>
            </w:pPr>
            <w:r w:rsidRPr="0002525F">
              <w:rPr>
                <w:color w:val="000000"/>
                <w:sz w:val="22"/>
              </w:rPr>
              <w:t>69</w:t>
            </w:r>
          </w:p>
        </w:tc>
        <w:tc>
          <w:tcPr>
            <w:tcW w:w="1049" w:type="pct"/>
            <w:shd w:val="clear" w:color="auto" w:fill="auto"/>
            <w:vAlign w:val="bottom"/>
          </w:tcPr>
          <w:p w14:paraId="74DE9381" w14:textId="77777777" w:rsidR="006C651B" w:rsidRPr="0002525F" w:rsidRDefault="006C651B" w:rsidP="006C651B">
            <w:pPr>
              <w:jc w:val="center"/>
              <w:rPr>
                <w:color w:val="000000"/>
                <w:sz w:val="22"/>
              </w:rPr>
            </w:pPr>
            <w:r w:rsidRPr="0002525F">
              <w:rPr>
                <w:color w:val="000000"/>
                <w:sz w:val="22"/>
              </w:rPr>
              <w:t>71</w:t>
            </w:r>
          </w:p>
        </w:tc>
        <w:tc>
          <w:tcPr>
            <w:tcW w:w="886" w:type="pct"/>
            <w:shd w:val="clear" w:color="auto" w:fill="auto"/>
            <w:vAlign w:val="bottom"/>
          </w:tcPr>
          <w:p w14:paraId="19CDB493" w14:textId="77777777" w:rsidR="006C651B" w:rsidRPr="0002525F" w:rsidRDefault="006C651B" w:rsidP="006C651B">
            <w:pPr>
              <w:jc w:val="center"/>
              <w:rPr>
                <w:b/>
                <w:bCs/>
                <w:color w:val="000000"/>
                <w:sz w:val="22"/>
              </w:rPr>
            </w:pPr>
            <w:r w:rsidRPr="0002525F">
              <w:rPr>
                <w:color w:val="000000"/>
                <w:sz w:val="22"/>
              </w:rPr>
              <w:t>28</w:t>
            </w:r>
          </w:p>
        </w:tc>
        <w:tc>
          <w:tcPr>
            <w:tcW w:w="1130" w:type="pct"/>
            <w:shd w:val="clear" w:color="auto" w:fill="auto"/>
            <w:vAlign w:val="bottom"/>
          </w:tcPr>
          <w:p w14:paraId="039536DC" w14:textId="77777777" w:rsidR="006C651B" w:rsidRPr="0002525F" w:rsidRDefault="006C651B" w:rsidP="006C651B">
            <w:pPr>
              <w:jc w:val="center"/>
              <w:rPr>
                <w:color w:val="000000"/>
                <w:sz w:val="22"/>
              </w:rPr>
            </w:pPr>
            <w:r w:rsidRPr="0002525F">
              <w:rPr>
                <w:color w:val="000000"/>
                <w:sz w:val="22"/>
              </w:rPr>
              <w:t>43</w:t>
            </w:r>
          </w:p>
        </w:tc>
      </w:tr>
      <w:tr w:rsidR="006C651B" w:rsidRPr="00091779" w14:paraId="6453EE44" w14:textId="77777777" w:rsidTr="006C651B">
        <w:trPr>
          <w:trHeight w:val="300"/>
          <w:jc w:val="center"/>
        </w:trPr>
        <w:tc>
          <w:tcPr>
            <w:tcW w:w="886" w:type="pct"/>
            <w:shd w:val="clear" w:color="auto" w:fill="auto"/>
            <w:vAlign w:val="bottom"/>
          </w:tcPr>
          <w:p w14:paraId="3A2C4178" w14:textId="77777777" w:rsidR="006C651B" w:rsidRPr="0002525F" w:rsidRDefault="006C651B" w:rsidP="005A1846">
            <w:pPr>
              <w:rPr>
                <w:color w:val="000000"/>
                <w:sz w:val="22"/>
              </w:rPr>
            </w:pPr>
            <w:r w:rsidRPr="0002525F">
              <w:rPr>
                <w:color w:val="000000"/>
                <w:sz w:val="22"/>
              </w:rPr>
              <w:t>A Vương</w:t>
            </w:r>
          </w:p>
        </w:tc>
        <w:tc>
          <w:tcPr>
            <w:tcW w:w="1049" w:type="pct"/>
            <w:shd w:val="clear" w:color="auto" w:fill="auto"/>
            <w:vAlign w:val="bottom"/>
          </w:tcPr>
          <w:p w14:paraId="76CB4C41" w14:textId="77777777" w:rsidR="006C651B" w:rsidRPr="0002525F" w:rsidRDefault="006C651B" w:rsidP="006C651B">
            <w:pPr>
              <w:jc w:val="center"/>
              <w:rPr>
                <w:color w:val="000000"/>
                <w:sz w:val="22"/>
              </w:rPr>
            </w:pPr>
            <w:r w:rsidRPr="0002525F">
              <w:rPr>
                <w:color w:val="000000"/>
                <w:sz w:val="22"/>
              </w:rPr>
              <w:t>174</w:t>
            </w:r>
          </w:p>
        </w:tc>
        <w:tc>
          <w:tcPr>
            <w:tcW w:w="1049" w:type="pct"/>
            <w:shd w:val="clear" w:color="auto" w:fill="auto"/>
            <w:vAlign w:val="bottom"/>
          </w:tcPr>
          <w:p w14:paraId="7039473B" w14:textId="77777777" w:rsidR="006C651B" w:rsidRPr="0002525F" w:rsidRDefault="006C651B" w:rsidP="006C651B">
            <w:pPr>
              <w:jc w:val="center"/>
              <w:rPr>
                <w:color w:val="000000"/>
                <w:sz w:val="22"/>
              </w:rPr>
            </w:pPr>
            <w:r w:rsidRPr="0002525F">
              <w:rPr>
                <w:color w:val="000000"/>
                <w:sz w:val="22"/>
              </w:rPr>
              <w:t>76</w:t>
            </w:r>
          </w:p>
        </w:tc>
        <w:tc>
          <w:tcPr>
            <w:tcW w:w="886" w:type="pct"/>
            <w:shd w:val="clear" w:color="auto" w:fill="auto"/>
            <w:vAlign w:val="bottom"/>
          </w:tcPr>
          <w:p w14:paraId="606E98BE" w14:textId="77777777" w:rsidR="006C651B" w:rsidRPr="0002525F" w:rsidRDefault="006C651B" w:rsidP="006C651B">
            <w:pPr>
              <w:jc w:val="center"/>
              <w:rPr>
                <w:b/>
                <w:bCs/>
                <w:color w:val="000000"/>
                <w:sz w:val="22"/>
              </w:rPr>
            </w:pPr>
            <w:r w:rsidRPr="0002525F">
              <w:rPr>
                <w:color w:val="000000"/>
                <w:sz w:val="22"/>
              </w:rPr>
              <w:t>0</w:t>
            </w:r>
          </w:p>
        </w:tc>
        <w:tc>
          <w:tcPr>
            <w:tcW w:w="1130" w:type="pct"/>
            <w:shd w:val="clear" w:color="auto" w:fill="auto"/>
            <w:vAlign w:val="bottom"/>
          </w:tcPr>
          <w:p w14:paraId="0DE6AA09" w14:textId="77777777" w:rsidR="006C651B" w:rsidRPr="0002525F" w:rsidRDefault="006C651B" w:rsidP="006C651B">
            <w:pPr>
              <w:jc w:val="center"/>
              <w:rPr>
                <w:color w:val="000000"/>
                <w:sz w:val="22"/>
              </w:rPr>
            </w:pPr>
            <w:r w:rsidRPr="0002525F">
              <w:rPr>
                <w:color w:val="000000"/>
                <w:sz w:val="22"/>
              </w:rPr>
              <w:t>76</w:t>
            </w:r>
          </w:p>
        </w:tc>
      </w:tr>
      <w:tr w:rsidR="006C651B" w:rsidRPr="00091779" w14:paraId="1E19BAF8" w14:textId="77777777" w:rsidTr="006C651B">
        <w:trPr>
          <w:trHeight w:val="300"/>
          <w:jc w:val="center"/>
        </w:trPr>
        <w:tc>
          <w:tcPr>
            <w:tcW w:w="886" w:type="pct"/>
            <w:shd w:val="clear" w:color="auto" w:fill="auto"/>
            <w:vAlign w:val="bottom"/>
          </w:tcPr>
          <w:p w14:paraId="02E891A1" w14:textId="77777777" w:rsidR="006C651B" w:rsidRPr="0002525F" w:rsidRDefault="006C651B" w:rsidP="005A1846">
            <w:pPr>
              <w:rPr>
                <w:color w:val="000000"/>
                <w:sz w:val="22"/>
              </w:rPr>
            </w:pPr>
            <w:r w:rsidRPr="0002525F">
              <w:rPr>
                <w:color w:val="000000"/>
                <w:sz w:val="22"/>
              </w:rPr>
              <w:t>Sông Tranh 2</w:t>
            </w:r>
          </w:p>
        </w:tc>
        <w:tc>
          <w:tcPr>
            <w:tcW w:w="1049" w:type="pct"/>
            <w:shd w:val="clear" w:color="auto" w:fill="auto"/>
            <w:vAlign w:val="bottom"/>
          </w:tcPr>
          <w:p w14:paraId="6FACDB8C" w14:textId="77777777" w:rsidR="006C651B" w:rsidRPr="0002525F" w:rsidRDefault="006C651B" w:rsidP="006C651B">
            <w:pPr>
              <w:jc w:val="center"/>
              <w:rPr>
                <w:color w:val="000000"/>
                <w:sz w:val="22"/>
              </w:rPr>
            </w:pPr>
            <w:r w:rsidRPr="0002525F">
              <w:rPr>
                <w:color w:val="000000"/>
                <w:sz w:val="22"/>
              </w:rPr>
              <w:t>326</w:t>
            </w:r>
          </w:p>
        </w:tc>
        <w:tc>
          <w:tcPr>
            <w:tcW w:w="1049" w:type="pct"/>
            <w:shd w:val="clear" w:color="auto" w:fill="auto"/>
            <w:vAlign w:val="bottom"/>
          </w:tcPr>
          <w:p w14:paraId="556F759B" w14:textId="77777777" w:rsidR="006C651B" w:rsidRPr="0002525F" w:rsidRDefault="006C651B" w:rsidP="006C651B">
            <w:pPr>
              <w:jc w:val="center"/>
              <w:rPr>
                <w:color w:val="000000"/>
                <w:sz w:val="22"/>
              </w:rPr>
            </w:pPr>
            <w:r w:rsidRPr="0002525F">
              <w:rPr>
                <w:color w:val="000000"/>
                <w:sz w:val="22"/>
              </w:rPr>
              <w:t>212</w:t>
            </w:r>
          </w:p>
        </w:tc>
        <w:tc>
          <w:tcPr>
            <w:tcW w:w="886" w:type="pct"/>
            <w:shd w:val="clear" w:color="auto" w:fill="auto"/>
            <w:vAlign w:val="bottom"/>
          </w:tcPr>
          <w:p w14:paraId="2FFF9CF1" w14:textId="77777777" w:rsidR="006C651B" w:rsidRPr="0002525F" w:rsidRDefault="006C651B" w:rsidP="006C651B">
            <w:pPr>
              <w:jc w:val="center"/>
              <w:rPr>
                <w:b/>
                <w:bCs/>
                <w:color w:val="000000"/>
                <w:sz w:val="22"/>
              </w:rPr>
            </w:pPr>
            <w:r w:rsidRPr="0002525F">
              <w:rPr>
                <w:color w:val="000000"/>
                <w:sz w:val="22"/>
              </w:rPr>
              <w:t>6</w:t>
            </w:r>
          </w:p>
        </w:tc>
        <w:tc>
          <w:tcPr>
            <w:tcW w:w="1130" w:type="pct"/>
            <w:shd w:val="clear" w:color="auto" w:fill="auto"/>
            <w:vAlign w:val="bottom"/>
          </w:tcPr>
          <w:p w14:paraId="7C349706" w14:textId="77777777" w:rsidR="006C651B" w:rsidRPr="0002525F" w:rsidRDefault="006C651B" w:rsidP="006C651B">
            <w:pPr>
              <w:jc w:val="center"/>
              <w:rPr>
                <w:color w:val="000000"/>
                <w:sz w:val="22"/>
              </w:rPr>
            </w:pPr>
            <w:r w:rsidRPr="0002525F">
              <w:rPr>
                <w:color w:val="000000"/>
                <w:sz w:val="22"/>
              </w:rPr>
              <w:t>206</w:t>
            </w:r>
          </w:p>
        </w:tc>
      </w:tr>
      <w:tr w:rsidR="006C651B" w:rsidRPr="00091779" w14:paraId="210A06DF" w14:textId="77777777" w:rsidTr="006C651B">
        <w:trPr>
          <w:trHeight w:val="300"/>
          <w:jc w:val="center"/>
        </w:trPr>
        <w:tc>
          <w:tcPr>
            <w:tcW w:w="886" w:type="pct"/>
            <w:shd w:val="clear" w:color="auto" w:fill="auto"/>
            <w:vAlign w:val="bottom"/>
          </w:tcPr>
          <w:p w14:paraId="5C268958" w14:textId="77777777" w:rsidR="006C651B" w:rsidRPr="0002525F" w:rsidRDefault="006C651B" w:rsidP="005A1846">
            <w:pPr>
              <w:rPr>
                <w:color w:val="000000"/>
                <w:sz w:val="22"/>
              </w:rPr>
            </w:pPr>
            <w:r w:rsidRPr="0002525F">
              <w:rPr>
                <w:color w:val="000000"/>
                <w:sz w:val="22"/>
              </w:rPr>
              <w:t>Sông Bung 2</w:t>
            </w:r>
          </w:p>
        </w:tc>
        <w:tc>
          <w:tcPr>
            <w:tcW w:w="1049" w:type="pct"/>
            <w:shd w:val="clear" w:color="auto" w:fill="auto"/>
            <w:vAlign w:val="bottom"/>
          </w:tcPr>
          <w:p w14:paraId="5FB9FFF7" w14:textId="77777777" w:rsidR="006C651B" w:rsidRPr="0002525F" w:rsidRDefault="006C651B" w:rsidP="006C651B">
            <w:pPr>
              <w:jc w:val="center"/>
              <w:rPr>
                <w:color w:val="000000"/>
                <w:sz w:val="22"/>
              </w:rPr>
            </w:pPr>
            <w:r w:rsidRPr="0002525F">
              <w:rPr>
                <w:color w:val="000000"/>
                <w:sz w:val="22"/>
              </w:rPr>
              <w:t>48</w:t>
            </w:r>
          </w:p>
        </w:tc>
        <w:tc>
          <w:tcPr>
            <w:tcW w:w="1049" w:type="pct"/>
            <w:shd w:val="clear" w:color="auto" w:fill="auto"/>
            <w:vAlign w:val="bottom"/>
          </w:tcPr>
          <w:p w14:paraId="7D9D8C2E" w14:textId="77777777" w:rsidR="006C651B" w:rsidRPr="0002525F" w:rsidRDefault="006C651B" w:rsidP="006C651B">
            <w:pPr>
              <w:jc w:val="center"/>
              <w:rPr>
                <w:color w:val="000000"/>
                <w:sz w:val="22"/>
              </w:rPr>
            </w:pPr>
            <w:r w:rsidRPr="0002525F">
              <w:rPr>
                <w:color w:val="000000"/>
                <w:sz w:val="22"/>
              </w:rPr>
              <w:t>33</w:t>
            </w:r>
          </w:p>
        </w:tc>
        <w:tc>
          <w:tcPr>
            <w:tcW w:w="886" w:type="pct"/>
            <w:shd w:val="clear" w:color="auto" w:fill="auto"/>
            <w:vAlign w:val="bottom"/>
          </w:tcPr>
          <w:p w14:paraId="2017BEAB" w14:textId="77777777" w:rsidR="006C651B" w:rsidRPr="0002525F" w:rsidRDefault="006C651B" w:rsidP="006C651B">
            <w:pPr>
              <w:jc w:val="center"/>
              <w:rPr>
                <w:b/>
                <w:bCs/>
                <w:color w:val="000000"/>
                <w:sz w:val="22"/>
              </w:rPr>
            </w:pPr>
            <w:r w:rsidRPr="0002525F">
              <w:rPr>
                <w:color w:val="000000"/>
                <w:sz w:val="22"/>
              </w:rPr>
              <w:t>0</w:t>
            </w:r>
          </w:p>
        </w:tc>
        <w:tc>
          <w:tcPr>
            <w:tcW w:w="1130" w:type="pct"/>
            <w:shd w:val="clear" w:color="auto" w:fill="auto"/>
            <w:vAlign w:val="bottom"/>
          </w:tcPr>
          <w:p w14:paraId="49FA66A2" w14:textId="77777777" w:rsidR="006C651B" w:rsidRPr="0002525F" w:rsidRDefault="006C651B" w:rsidP="006C651B">
            <w:pPr>
              <w:jc w:val="center"/>
              <w:rPr>
                <w:color w:val="000000"/>
                <w:sz w:val="22"/>
              </w:rPr>
            </w:pPr>
            <w:r w:rsidRPr="0002525F">
              <w:rPr>
                <w:color w:val="000000"/>
                <w:sz w:val="22"/>
              </w:rPr>
              <w:t>33</w:t>
            </w:r>
          </w:p>
        </w:tc>
      </w:tr>
      <w:tr w:rsidR="006C651B" w:rsidRPr="00091779" w14:paraId="59DEF5D3" w14:textId="77777777" w:rsidTr="006C651B">
        <w:trPr>
          <w:trHeight w:val="300"/>
          <w:jc w:val="center"/>
        </w:trPr>
        <w:tc>
          <w:tcPr>
            <w:tcW w:w="886" w:type="pct"/>
            <w:shd w:val="clear" w:color="auto" w:fill="auto"/>
            <w:vAlign w:val="bottom"/>
          </w:tcPr>
          <w:p w14:paraId="18B665D1" w14:textId="77777777" w:rsidR="006C651B" w:rsidRPr="0002525F" w:rsidRDefault="006C651B" w:rsidP="005A1846">
            <w:pPr>
              <w:rPr>
                <w:color w:val="000000"/>
                <w:sz w:val="22"/>
              </w:rPr>
            </w:pPr>
            <w:r w:rsidRPr="0002525F">
              <w:rPr>
                <w:color w:val="000000"/>
                <w:sz w:val="22"/>
              </w:rPr>
              <w:t>Sông Bung 4</w:t>
            </w:r>
          </w:p>
        </w:tc>
        <w:tc>
          <w:tcPr>
            <w:tcW w:w="1049" w:type="pct"/>
            <w:shd w:val="clear" w:color="auto" w:fill="auto"/>
            <w:vAlign w:val="bottom"/>
          </w:tcPr>
          <w:p w14:paraId="7F474693" w14:textId="77777777" w:rsidR="006C651B" w:rsidRPr="0002525F" w:rsidRDefault="006C651B" w:rsidP="006C651B">
            <w:pPr>
              <w:jc w:val="center"/>
              <w:rPr>
                <w:color w:val="000000"/>
                <w:sz w:val="22"/>
              </w:rPr>
            </w:pPr>
            <w:r w:rsidRPr="0002525F">
              <w:rPr>
                <w:color w:val="000000"/>
                <w:sz w:val="22"/>
              </w:rPr>
              <w:t>321</w:t>
            </w:r>
          </w:p>
        </w:tc>
        <w:tc>
          <w:tcPr>
            <w:tcW w:w="1049" w:type="pct"/>
            <w:shd w:val="clear" w:color="auto" w:fill="auto"/>
            <w:vAlign w:val="bottom"/>
          </w:tcPr>
          <w:p w14:paraId="6C6B669E" w14:textId="77777777" w:rsidR="006C651B" w:rsidRPr="0002525F" w:rsidRDefault="006C651B" w:rsidP="006C651B">
            <w:pPr>
              <w:jc w:val="center"/>
              <w:rPr>
                <w:color w:val="000000"/>
                <w:sz w:val="22"/>
              </w:rPr>
            </w:pPr>
            <w:r w:rsidRPr="0002525F">
              <w:rPr>
                <w:color w:val="000000"/>
                <w:sz w:val="22"/>
              </w:rPr>
              <w:t>160</w:t>
            </w:r>
          </w:p>
        </w:tc>
        <w:tc>
          <w:tcPr>
            <w:tcW w:w="886" w:type="pct"/>
            <w:shd w:val="clear" w:color="auto" w:fill="auto"/>
            <w:vAlign w:val="bottom"/>
          </w:tcPr>
          <w:p w14:paraId="6F4CA6EB" w14:textId="77777777" w:rsidR="006C651B" w:rsidRPr="0002525F" w:rsidRDefault="006C651B" w:rsidP="006C651B">
            <w:pPr>
              <w:jc w:val="center"/>
              <w:rPr>
                <w:b/>
                <w:bCs/>
                <w:color w:val="000000"/>
                <w:sz w:val="22"/>
              </w:rPr>
            </w:pPr>
            <w:r w:rsidRPr="0002525F">
              <w:rPr>
                <w:color w:val="000000"/>
                <w:sz w:val="22"/>
              </w:rPr>
              <w:t>0</w:t>
            </w:r>
          </w:p>
        </w:tc>
        <w:tc>
          <w:tcPr>
            <w:tcW w:w="1130" w:type="pct"/>
            <w:shd w:val="clear" w:color="auto" w:fill="auto"/>
            <w:vAlign w:val="bottom"/>
          </w:tcPr>
          <w:p w14:paraId="6AAC7862" w14:textId="77777777" w:rsidR="006C651B" w:rsidRPr="0002525F" w:rsidRDefault="006C651B" w:rsidP="006C651B">
            <w:pPr>
              <w:jc w:val="center"/>
              <w:rPr>
                <w:color w:val="000000"/>
                <w:sz w:val="22"/>
              </w:rPr>
            </w:pPr>
            <w:r w:rsidRPr="0002525F">
              <w:rPr>
                <w:color w:val="000000"/>
                <w:sz w:val="22"/>
              </w:rPr>
              <w:t>160</w:t>
            </w:r>
          </w:p>
        </w:tc>
      </w:tr>
    </w:tbl>
    <w:p w14:paraId="0FC05EBB" w14:textId="77777777" w:rsidR="00567FE5" w:rsidRPr="00E44370" w:rsidRDefault="00567FE5" w:rsidP="00E44370">
      <w:pPr>
        <w:ind w:firstLine="360"/>
        <w:jc w:val="both"/>
        <w:rPr>
          <w:szCs w:val="28"/>
        </w:rPr>
      </w:pPr>
    </w:p>
    <w:p w14:paraId="790579BD" w14:textId="2BA8502E" w:rsidR="00ED4E6E" w:rsidRPr="00E44370" w:rsidRDefault="00ED4E6E" w:rsidP="0069293C">
      <w:pPr>
        <w:pStyle w:val="ListParagraph"/>
        <w:numPr>
          <w:ilvl w:val="0"/>
          <w:numId w:val="2"/>
        </w:numPr>
        <w:snapToGrid w:val="0"/>
        <w:spacing w:after="120"/>
        <w:jc w:val="both"/>
        <w:rPr>
          <w:b/>
          <w:bCs/>
          <w:lang w:val="vi-VN"/>
        </w:rPr>
      </w:pPr>
      <w:r w:rsidRPr="00E44370">
        <w:rPr>
          <w:b/>
          <w:bCs/>
          <w:lang w:val="en-US"/>
        </w:rPr>
        <w:t>Lưới</w:t>
      </w:r>
      <w:r w:rsidR="00E44370" w:rsidRPr="00E44370">
        <w:rPr>
          <w:b/>
          <w:bCs/>
          <w:lang w:val="en-US"/>
        </w:rPr>
        <w:t xml:space="preserve"> điện</w:t>
      </w:r>
      <w:r w:rsidRPr="00E44370">
        <w:rPr>
          <w:b/>
          <w:bCs/>
          <w:lang w:val="en-US"/>
        </w:rPr>
        <w:t xml:space="preserve"> cao áp:</w:t>
      </w:r>
    </w:p>
    <w:p w14:paraId="089A99EE" w14:textId="2A709F2C" w:rsidR="006C651B" w:rsidRPr="009E0E22" w:rsidRDefault="009E0E22" w:rsidP="009E0E22">
      <w:pPr>
        <w:snapToGrid w:val="0"/>
        <w:spacing w:before="120" w:after="120"/>
        <w:ind w:firstLine="426"/>
        <w:jc w:val="both"/>
        <w:rPr>
          <w:szCs w:val="28"/>
        </w:rPr>
      </w:pPr>
      <w:r>
        <w:rPr>
          <w:szCs w:val="28"/>
        </w:rPr>
        <w:t xml:space="preserve">- </w:t>
      </w:r>
      <w:r w:rsidR="006C651B" w:rsidRPr="009E0E22">
        <w:rPr>
          <w:szCs w:val="28"/>
        </w:rPr>
        <w:t>Lưới điện</w:t>
      </w:r>
      <w:r w:rsidR="006C651B" w:rsidRPr="009E0E22">
        <w:rPr>
          <w:szCs w:val="28"/>
          <w:lang w:val="vi-VN"/>
        </w:rPr>
        <w:t xml:space="preserve"> 500kV</w:t>
      </w:r>
      <w:r w:rsidR="006C651B" w:rsidRPr="009E0E22">
        <w:rPr>
          <w:szCs w:val="28"/>
        </w:rPr>
        <w:t>:</w:t>
      </w:r>
      <w:r w:rsidR="006C651B" w:rsidRPr="009E0E22">
        <w:rPr>
          <w:szCs w:val="28"/>
          <w:lang w:val="vi-VN"/>
        </w:rPr>
        <w:t xml:space="preserve"> </w:t>
      </w:r>
      <w:r w:rsidR="006C651B" w:rsidRPr="009E0E22">
        <w:rPr>
          <w:szCs w:val="28"/>
        </w:rPr>
        <w:t>sự cố 02 đườ</w:t>
      </w:r>
      <w:r>
        <w:rPr>
          <w:szCs w:val="28"/>
        </w:rPr>
        <w:t>ng dây, hiện nay</w:t>
      </w:r>
      <w:r w:rsidR="006C651B" w:rsidRPr="009E0E22">
        <w:rPr>
          <w:szCs w:val="28"/>
        </w:rPr>
        <w:t xml:space="preserve"> đã khôi phục</w:t>
      </w:r>
      <w:r>
        <w:rPr>
          <w:szCs w:val="28"/>
        </w:rPr>
        <w:t xml:space="preserve"> hoàn toàn</w:t>
      </w:r>
      <w:r w:rsidR="006C651B" w:rsidRPr="009E0E22">
        <w:rPr>
          <w:szCs w:val="28"/>
        </w:rPr>
        <w:t>.</w:t>
      </w:r>
    </w:p>
    <w:p w14:paraId="2E0FE826" w14:textId="38968736" w:rsidR="006C651B" w:rsidRPr="009E0E22" w:rsidRDefault="006C651B" w:rsidP="009E0E22">
      <w:pPr>
        <w:snapToGrid w:val="0"/>
        <w:spacing w:before="120" w:after="120"/>
        <w:ind w:firstLine="426"/>
        <w:jc w:val="both"/>
        <w:rPr>
          <w:szCs w:val="28"/>
        </w:rPr>
      </w:pPr>
      <w:r w:rsidRPr="009E0E22">
        <w:rPr>
          <w:szCs w:val="28"/>
        </w:rPr>
        <w:t xml:space="preserve">- Lưới điện 220kV: sự cố 01 đường dây; </w:t>
      </w:r>
      <w:r w:rsidR="009E0E22">
        <w:rPr>
          <w:szCs w:val="28"/>
        </w:rPr>
        <w:t>hiện nay</w:t>
      </w:r>
      <w:r w:rsidR="009E0E22" w:rsidRPr="009E0E22">
        <w:rPr>
          <w:szCs w:val="28"/>
        </w:rPr>
        <w:t xml:space="preserve"> đã khôi phục</w:t>
      </w:r>
      <w:r w:rsidR="009E0E22">
        <w:rPr>
          <w:szCs w:val="28"/>
        </w:rPr>
        <w:t xml:space="preserve"> hoàn toàn</w:t>
      </w:r>
      <w:r w:rsidRPr="009E0E22">
        <w:rPr>
          <w:szCs w:val="28"/>
        </w:rPr>
        <w:t>.</w:t>
      </w:r>
    </w:p>
    <w:p w14:paraId="71D15FD3" w14:textId="5977E776" w:rsidR="00ED4E6E" w:rsidRPr="009E0E22" w:rsidRDefault="006C651B" w:rsidP="006C651B">
      <w:pPr>
        <w:snapToGrid w:val="0"/>
        <w:spacing w:before="120" w:after="120"/>
        <w:ind w:firstLine="426"/>
        <w:jc w:val="both"/>
        <w:rPr>
          <w:szCs w:val="28"/>
        </w:rPr>
      </w:pPr>
      <w:r w:rsidRPr="009E0E22">
        <w:rPr>
          <w:szCs w:val="28"/>
        </w:rPr>
        <w:t>- Lưới điện 110kV: sự cố 05 đườ</w:t>
      </w:r>
      <w:r w:rsidR="009E0E22">
        <w:rPr>
          <w:szCs w:val="28"/>
        </w:rPr>
        <w:t>ng dây và 02 TBA,</w:t>
      </w:r>
      <w:r w:rsidRPr="009E0E22">
        <w:rPr>
          <w:szCs w:val="28"/>
        </w:rPr>
        <w:t xml:space="preserve"> dự kiến khôi phục</w:t>
      </w:r>
      <w:r w:rsidR="009E0E22">
        <w:rPr>
          <w:szCs w:val="28"/>
        </w:rPr>
        <w:t xml:space="preserve"> hoàn toàn</w:t>
      </w:r>
      <w:r w:rsidRPr="009E0E22">
        <w:rPr>
          <w:szCs w:val="28"/>
        </w:rPr>
        <w:t xml:space="preserve"> trong ngày 16/11.</w:t>
      </w:r>
    </w:p>
    <w:p w14:paraId="4B1008BE" w14:textId="77777777" w:rsidR="00E44370" w:rsidRPr="00E44370" w:rsidRDefault="0097641A" w:rsidP="00FF6A4D">
      <w:pPr>
        <w:pStyle w:val="ListParagraph"/>
        <w:numPr>
          <w:ilvl w:val="0"/>
          <w:numId w:val="2"/>
        </w:numPr>
        <w:snapToGrid w:val="0"/>
        <w:spacing w:after="120" w:line="360" w:lineRule="auto"/>
        <w:ind w:left="0" w:firstLine="360"/>
        <w:jc w:val="both"/>
        <w:rPr>
          <w:b/>
          <w:bCs/>
          <w:lang w:val="vi-VN"/>
        </w:rPr>
      </w:pPr>
      <w:r w:rsidRPr="00E44370">
        <w:rPr>
          <w:rFonts w:cs="Times New Roman"/>
          <w:b/>
          <w:bCs/>
          <w:szCs w:val="28"/>
          <w:lang w:val="vi-VN"/>
        </w:rPr>
        <w:t>Lưới</w:t>
      </w:r>
      <w:r w:rsidR="00E44370" w:rsidRPr="00E44370">
        <w:rPr>
          <w:rFonts w:cs="Times New Roman"/>
          <w:b/>
          <w:bCs/>
          <w:szCs w:val="28"/>
          <w:lang w:val="en-US"/>
        </w:rPr>
        <w:t xml:space="preserve"> điện</w:t>
      </w:r>
      <w:r w:rsidRPr="00E44370">
        <w:rPr>
          <w:rFonts w:cs="Times New Roman"/>
          <w:b/>
          <w:bCs/>
          <w:szCs w:val="28"/>
          <w:lang w:val="vi-VN"/>
        </w:rPr>
        <w:t xml:space="preserve"> trung, hạ áp: </w:t>
      </w:r>
    </w:p>
    <w:p w14:paraId="67F78D68" w14:textId="7E276713" w:rsidR="009E0E22" w:rsidRDefault="009E0E22" w:rsidP="00FF6A4D">
      <w:pPr>
        <w:pStyle w:val="ListParagraph"/>
        <w:snapToGrid w:val="0"/>
        <w:spacing w:after="120" w:line="360" w:lineRule="auto"/>
        <w:ind w:left="0" w:firstLine="709"/>
        <w:jc w:val="both"/>
        <w:rPr>
          <w:szCs w:val="28"/>
          <w:lang w:val="en-US"/>
        </w:rPr>
      </w:pPr>
      <w:r>
        <w:rPr>
          <w:szCs w:val="28"/>
          <w:lang w:val="en-US"/>
        </w:rPr>
        <w:t xml:space="preserve">Tại thời điểm ngày 15/11 ngay sau bão, các tỉnh </w:t>
      </w:r>
      <w:r w:rsidR="00FF6A4D">
        <w:rPr>
          <w:szCs w:val="28"/>
          <w:lang w:val="en-US"/>
        </w:rPr>
        <w:t>Quảng Bình, Quảng Trị, Thừa Thiên Huế có đến khoảng 67% phụ tải bị mất điện do ảnh hưởng của bão, tuy nhiên với sự tập trung cao ứng trực, xử lý sự cố thì dự kiến trong ngày hôm nay 16/11 toàn bộ những khu vực có thể tiếp cận được sẽ được khôi phục cấp điện trở lại.</w:t>
      </w:r>
    </w:p>
    <w:p w14:paraId="43083AAE" w14:textId="336441CB" w:rsidR="00ED4E6E" w:rsidRPr="00FF6A4D" w:rsidRDefault="00FF6A4D" w:rsidP="00FF6A4D">
      <w:pPr>
        <w:pStyle w:val="ListParagraph"/>
        <w:snapToGrid w:val="0"/>
        <w:spacing w:after="120" w:line="360" w:lineRule="auto"/>
        <w:ind w:left="0" w:firstLine="709"/>
        <w:jc w:val="both"/>
        <w:rPr>
          <w:szCs w:val="28"/>
          <w:lang w:val="en-US"/>
        </w:rPr>
      </w:pPr>
      <w:r>
        <w:rPr>
          <w:szCs w:val="28"/>
          <w:lang w:val="en-US"/>
        </w:rPr>
        <w:lastRenderedPageBreak/>
        <w:t>Tại các tỉnh Quang Nam, Đà Nẵng, Quả</w:t>
      </w:r>
      <w:r w:rsidR="00C13A80">
        <w:rPr>
          <w:szCs w:val="28"/>
          <w:lang w:val="en-US"/>
        </w:rPr>
        <w:t>ng Ngãi đã cơ</w:t>
      </w:r>
      <w:r>
        <w:rPr>
          <w:szCs w:val="28"/>
          <w:lang w:val="en-US"/>
        </w:rPr>
        <w:t xml:space="preserve"> bản khôi phục cấp điện ngay trong ngày 15/11 trừ một số địa điểm bị ngậ</w:t>
      </w:r>
      <w:r w:rsidR="00711F7F">
        <w:rPr>
          <w:szCs w:val="28"/>
          <w:lang w:val="en-US"/>
        </w:rPr>
        <w:t>p sâu</w:t>
      </w:r>
      <w:r>
        <w:rPr>
          <w:szCs w:val="28"/>
          <w:lang w:val="en-US"/>
        </w:rPr>
        <w:t>, chia cắt</w:t>
      </w:r>
      <w:r w:rsidR="00711F7F">
        <w:rPr>
          <w:szCs w:val="28"/>
          <w:lang w:val="en-US"/>
        </w:rPr>
        <w:t>, Công ty Đ</w:t>
      </w:r>
      <w:bookmarkStart w:id="0" w:name="_GoBack"/>
      <w:bookmarkEnd w:id="0"/>
      <w:r>
        <w:rPr>
          <w:szCs w:val="28"/>
          <w:lang w:val="en-US"/>
        </w:rPr>
        <w:t>iện lực chưa thể tiếp cận được.</w:t>
      </w:r>
      <w:r w:rsidR="00E44370" w:rsidRPr="00FF6A4D">
        <w:rPr>
          <w:szCs w:val="28"/>
        </w:rPr>
        <w:t xml:space="preserve"> </w:t>
      </w:r>
    </w:p>
    <w:p w14:paraId="3DB79FAE" w14:textId="412C4DBF" w:rsidR="00512887" w:rsidRPr="00DF75FA" w:rsidRDefault="0097641A" w:rsidP="00E44370">
      <w:pPr>
        <w:pStyle w:val="NormalWeb"/>
        <w:shd w:val="clear" w:color="auto" w:fill="FFFFFF"/>
        <w:spacing w:before="0" w:beforeAutospacing="0" w:after="120" w:afterAutospacing="0"/>
        <w:ind w:firstLine="720"/>
        <w:jc w:val="both"/>
        <w:textAlignment w:val="baseline"/>
        <w:rPr>
          <w:b/>
          <w:u w:val="single"/>
          <w:lang w:val="pt-BR"/>
        </w:rPr>
      </w:pPr>
      <w:r w:rsidRPr="00085B86">
        <w:rPr>
          <w:lang w:val="vi-VN"/>
        </w:rPr>
        <w:t xml:space="preserve"> </w:t>
      </w:r>
      <w:r w:rsidR="00512887" w:rsidRPr="00DF75FA">
        <w:rPr>
          <w:b/>
          <w:u w:val="single"/>
          <w:lang w:val="pt-BR"/>
        </w:rPr>
        <w:t>THÔNG TIN LIÊN HỆ:</w:t>
      </w:r>
    </w:p>
    <w:p w14:paraId="48759FF1" w14:textId="77777777" w:rsidR="00512887" w:rsidRPr="00E44370" w:rsidRDefault="00512887" w:rsidP="00512887">
      <w:pPr>
        <w:pStyle w:val="NormalWeb"/>
        <w:shd w:val="clear" w:color="auto" w:fill="FFFFFF"/>
        <w:spacing w:before="0" w:beforeAutospacing="0" w:after="0" w:afterAutospacing="0"/>
        <w:ind w:left="709"/>
        <w:jc w:val="both"/>
        <w:rPr>
          <w:sz w:val="22"/>
          <w:szCs w:val="22"/>
        </w:rPr>
      </w:pPr>
      <w:r w:rsidRPr="00E44370">
        <w:rPr>
          <w:sz w:val="22"/>
          <w:szCs w:val="22"/>
        </w:rPr>
        <w:t>Ban Truyền thông - Tập đoàn Điện lực Việt Nam;</w:t>
      </w:r>
    </w:p>
    <w:p w14:paraId="6385B033" w14:textId="77777777" w:rsidR="00512887" w:rsidRPr="00E44370" w:rsidRDefault="00512887" w:rsidP="00512887">
      <w:pPr>
        <w:pStyle w:val="NormalWeb"/>
        <w:shd w:val="clear" w:color="auto" w:fill="FFFFFF"/>
        <w:spacing w:before="0" w:beforeAutospacing="0" w:after="0" w:afterAutospacing="0"/>
        <w:ind w:left="709"/>
        <w:jc w:val="both"/>
        <w:rPr>
          <w:sz w:val="22"/>
          <w:szCs w:val="22"/>
        </w:rPr>
      </w:pPr>
      <w:r w:rsidRPr="00E44370">
        <w:rPr>
          <w:sz w:val="22"/>
          <w:szCs w:val="22"/>
        </w:rPr>
        <w:t>Email: </w:t>
      </w:r>
      <w:hyperlink r:id="rId9" w:history="1">
        <w:r w:rsidRPr="00E44370">
          <w:rPr>
            <w:rStyle w:val="Hyperlink"/>
            <w:sz w:val="22"/>
            <w:szCs w:val="22"/>
          </w:rPr>
          <w:t>bantt@evn.com.vn</w:t>
        </w:r>
      </w:hyperlink>
    </w:p>
    <w:p w14:paraId="1AC57197" w14:textId="77777777" w:rsidR="00512887" w:rsidRPr="00E44370" w:rsidRDefault="00512887" w:rsidP="00512887">
      <w:pPr>
        <w:pStyle w:val="NormalWeb"/>
        <w:shd w:val="clear" w:color="auto" w:fill="FFFFFF"/>
        <w:spacing w:before="0" w:beforeAutospacing="0" w:after="0" w:afterAutospacing="0"/>
        <w:ind w:left="709"/>
        <w:jc w:val="both"/>
        <w:rPr>
          <w:sz w:val="22"/>
          <w:szCs w:val="22"/>
        </w:rPr>
      </w:pPr>
      <w:r w:rsidRPr="00E44370">
        <w:rPr>
          <w:sz w:val="22"/>
          <w:szCs w:val="22"/>
        </w:rPr>
        <w:t>Điện thoại: 024.66946405/66946413; Fax: 024.66946402</w:t>
      </w:r>
    </w:p>
    <w:p w14:paraId="23A37843" w14:textId="77777777" w:rsidR="00512887" w:rsidRPr="00E44370" w:rsidRDefault="00512887" w:rsidP="00512887">
      <w:pPr>
        <w:pStyle w:val="NormalWeb"/>
        <w:shd w:val="clear" w:color="auto" w:fill="FFFFFF"/>
        <w:spacing w:before="0" w:beforeAutospacing="0" w:after="0" w:afterAutospacing="0"/>
        <w:ind w:left="709"/>
        <w:jc w:val="both"/>
        <w:rPr>
          <w:sz w:val="22"/>
          <w:szCs w:val="22"/>
        </w:rPr>
      </w:pPr>
      <w:r w:rsidRPr="00E44370">
        <w:rPr>
          <w:sz w:val="22"/>
          <w:szCs w:val="22"/>
        </w:rPr>
        <w:t>Địa chỉ: Số 11 phố Cửa Bắc, phường Trúc Bạch, quận Ba Đình - Hà Nội;</w:t>
      </w:r>
    </w:p>
    <w:p w14:paraId="514963FA" w14:textId="77777777" w:rsidR="00512887" w:rsidRPr="00E44370" w:rsidRDefault="00512887" w:rsidP="00512887">
      <w:pPr>
        <w:pStyle w:val="NormalWeb"/>
        <w:shd w:val="clear" w:color="auto" w:fill="FFFFFF"/>
        <w:spacing w:before="0" w:beforeAutospacing="0" w:after="0" w:afterAutospacing="0"/>
        <w:ind w:left="709"/>
        <w:jc w:val="both"/>
        <w:rPr>
          <w:sz w:val="22"/>
          <w:szCs w:val="22"/>
        </w:rPr>
      </w:pPr>
      <w:r w:rsidRPr="00E44370">
        <w:rPr>
          <w:sz w:val="22"/>
          <w:szCs w:val="22"/>
        </w:rPr>
        <w:t>Website: </w:t>
      </w:r>
      <w:hyperlink r:id="rId10" w:history="1">
        <w:r w:rsidRPr="00E44370">
          <w:rPr>
            <w:rStyle w:val="Hyperlink"/>
            <w:sz w:val="22"/>
            <w:szCs w:val="22"/>
          </w:rPr>
          <w:t>www.evn.com.vn</w:t>
        </w:r>
      </w:hyperlink>
      <w:r w:rsidRPr="00E44370">
        <w:rPr>
          <w:sz w:val="22"/>
          <w:szCs w:val="22"/>
        </w:rPr>
        <w:t>, </w:t>
      </w:r>
      <w:hyperlink r:id="rId11" w:history="1">
        <w:r w:rsidRPr="00E44370">
          <w:rPr>
            <w:rStyle w:val="Hyperlink"/>
            <w:sz w:val="22"/>
            <w:szCs w:val="22"/>
          </w:rPr>
          <w:t>www.tietkiemnangluong.vn</w:t>
        </w:r>
      </w:hyperlink>
      <w:r w:rsidRPr="00E44370">
        <w:rPr>
          <w:sz w:val="22"/>
          <w:szCs w:val="22"/>
        </w:rPr>
        <w:t xml:space="preserve"> </w:t>
      </w:r>
    </w:p>
    <w:p w14:paraId="707F461D" w14:textId="29132604" w:rsidR="00E44DFB" w:rsidRPr="00E44370" w:rsidRDefault="0069293C" w:rsidP="0069293C">
      <w:pPr>
        <w:ind w:left="-23"/>
        <w:rPr>
          <w:sz w:val="22"/>
          <w:u w:val="single"/>
        </w:rPr>
      </w:pPr>
      <w:r w:rsidRPr="00E44370">
        <w:rPr>
          <w:sz w:val="22"/>
        </w:rPr>
        <w:t xml:space="preserve">           </w:t>
      </w:r>
      <w:r w:rsidR="00E44370">
        <w:rPr>
          <w:sz w:val="22"/>
        </w:rPr>
        <w:tab/>
      </w:r>
      <w:r w:rsidR="00512887" w:rsidRPr="00E44370">
        <w:rPr>
          <w:sz w:val="22"/>
        </w:rPr>
        <w:t xml:space="preserve">Fanpage: </w:t>
      </w:r>
      <w:hyperlink r:id="rId12" w:history="1">
        <w:r w:rsidR="00512887" w:rsidRPr="00E44370">
          <w:rPr>
            <w:rStyle w:val="Hyperlink"/>
            <w:rFonts w:eastAsiaTheme="minorHAnsi"/>
            <w:sz w:val="22"/>
          </w:rPr>
          <w:t>www.facebook.com/evndienlucvietnam</w:t>
        </w:r>
      </w:hyperlink>
      <w:r w:rsidR="00512887" w:rsidRPr="00E44370">
        <w:rPr>
          <w:sz w:val="22"/>
          <w:u w:val="single"/>
        </w:rPr>
        <w:t xml:space="preserve"> </w:t>
      </w:r>
    </w:p>
    <w:p w14:paraId="0D2A4524" w14:textId="77777777" w:rsidR="0069293C" w:rsidRDefault="0069293C" w:rsidP="00E44370">
      <w:pPr>
        <w:rPr>
          <w:u w:val="single"/>
        </w:rPr>
      </w:pPr>
    </w:p>
    <w:sectPr w:rsidR="0069293C" w:rsidSect="00FF6A4D">
      <w:pgSz w:w="11906" w:h="16838"/>
      <w:pgMar w:top="993" w:right="1133" w:bottom="1418" w:left="156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A14AE"/>
    <w:multiLevelType w:val="hybridMultilevel"/>
    <w:tmpl w:val="0266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A31AE"/>
    <w:multiLevelType w:val="multilevel"/>
    <w:tmpl w:val="CC8E00E6"/>
    <w:lvl w:ilvl="0">
      <w:start w:val="1"/>
      <w:numFmt w:val="decimal"/>
      <w:suff w:val="nothing"/>
      <w:lvlText w:val="%1"/>
      <w:lvlJc w:val="center"/>
      <w:pPr>
        <w:ind w:left="1210" w:hanging="360"/>
      </w:pPr>
      <w:rPr>
        <w:rFonts w:hint="default"/>
      </w:rPr>
    </w:lvl>
    <w:lvl w:ilvl="1">
      <w:start w:val="1"/>
      <w:numFmt w:val="lowerLetter"/>
      <w:lvlText w:val="%2."/>
      <w:lvlJc w:val="left"/>
      <w:pPr>
        <w:ind w:left="1930" w:hanging="360"/>
      </w:pPr>
      <w:rPr>
        <w:rFonts w:hint="default"/>
      </w:rPr>
    </w:lvl>
    <w:lvl w:ilvl="2">
      <w:start w:val="1"/>
      <w:numFmt w:val="lowerRoman"/>
      <w:lvlText w:val="%3."/>
      <w:lvlJc w:val="right"/>
      <w:pPr>
        <w:ind w:left="2650" w:hanging="180"/>
      </w:pPr>
      <w:rPr>
        <w:rFonts w:hint="default"/>
      </w:rPr>
    </w:lvl>
    <w:lvl w:ilvl="3">
      <w:start w:val="1"/>
      <w:numFmt w:val="decimal"/>
      <w:lvlText w:val="%4."/>
      <w:lvlJc w:val="left"/>
      <w:pPr>
        <w:ind w:left="3370" w:hanging="360"/>
      </w:pPr>
      <w:rPr>
        <w:rFonts w:hint="default"/>
      </w:rPr>
    </w:lvl>
    <w:lvl w:ilvl="4">
      <w:start w:val="1"/>
      <w:numFmt w:val="lowerLetter"/>
      <w:lvlText w:val="%5."/>
      <w:lvlJc w:val="left"/>
      <w:pPr>
        <w:ind w:left="4090" w:hanging="360"/>
      </w:pPr>
      <w:rPr>
        <w:rFonts w:hint="default"/>
      </w:rPr>
    </w:lvl>
    <w:lvl w:ilvl="5">
      <w:start w:val="1"/>
      <w:numFmt w:val="lowerRoman"/>
      <w:lvlText w:val="%6."/>
      <w:lvlJc w:val="right"/>
      <w:pPr>
        <w:ind w:left="4810" w:hanging="180"/>
      </w:pPr>
      <w:rPr>
        <w:rFonts w:hint="default"/>
      </w:rPr>
    </w:lvl>
    <w:lvl w:ilvl="6">
      <w:start w:val="1"/>
      <w:numFmt w:val="decimal"/>
      <w:lvlText w:val="%7."/>
      <w:lvlJc w:val="left"/>
      <w:pPr>
        <w:ind w:left="5530" w:hanging="360"/>
      </w:pPr>
      <w:rPr>
        <w:rFonts w:hint="default"/>
      </w:rPr>
    </w:lvl>
    <w:lvl w:ilvl="7">
      <w:start w:val="1"/>
      <w:numFmt w:val="lowerLetter"/>
      <w:lvlText w:val="%8."/>
      <w:lvlJc w:val="left"/>
      <w:pPr>
        <w:ind w:left="6250" w:hanging="360"/>
      </w:pPr>
      <w:rPr>
        <w:rFonts w:hint="default"/>
      </w:rPr>
    </w:lvl>
    <w:lvl w:ilvl="8">
      <w:start w:val="1"/>
      <w:numFmt w:val="lowerRoman"/>
      <w:lvlText w:val="%9."/>
      <w:lvlJc w:val="right"/>
      <w:pPr>
        <w:ind w:left="6970" w:hanging="180"/>
      </w:pPr>
      <w:rPr>
        <w:rFonts w:hint="default"/>
      </w:rPr>
    </w:lvl>
  </w:abstractNum>
  <w:abstractNum w:abstractNumId="2">
    <w:nsid w:val="5CAE5B80"/>
    <w:multiLevelType w:val="hybridMultilevel"/>
    <w:tmpl w:val="B2B66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4A"/>
    <w:rsid w:val="00084801"/>
    <w:rsid w:val="00085B86"/>
    <w:rsid w:val="001D7785"/>
    <w:rsid w:val="00220238"/>
    <w:rsid w:val="00344FED"/>
    <w:rsid w:val="0034781F"/>
    <w:rsid w:val="003837FE"/>
    <w:rsid w:val="00443CC7"/>
    <w:rsid w:val="00475D0B"/>
    <w:rsid w:val="004E677A"/>
    <w:rsid w:val="00512887"/>
    <w:rsid w:val="00567FE5"/>
    <w:rsid w:val="0069293C"/>
    <w:rsid w:val="006C651B"/>
    <w:rsid w:val="00711F7F"/>
    <w:rsid w:val="00745360"/>
    <w:rsid w:val="0089110A"/>
    <w:rsid w:val="008B68F3"/>
    <w:rsid w:val="0097641A"/>
    <w:rsid w:val="009D75B3"/>
    <w:rsid w:val="009E0E22"/>
    <w:rsid w:val="00BD6FC0"/>
    <w:rsid w:val="00BF3ECC"/>
    <w:rsid w:val="00C13A80"/>
    <w:rsid w:val="00CB764A"/>
    <w:rsid w:val="00D13836"/>
    <w:rsid w:val="00D72471"/>
    <w:rsid w:val="00D9273B"/>
    <w:rsid w:val="00DF5606"/>
    <w:rsid w:val="00E44370"/>
    <w:rsid w:val="00E44DFB"/>
    <w:rsid w:val="00ED4E6E"/>
    <w:rsid w:val="00FA46F5"/>
    <w:rsid w:val="00FF6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249E"/>
  <w15:chartTrackingRefBased/>
  <w15:docId w15:val="{7E5C7A14-568E-4155-BE0C-58E81A56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6FC0"/>
    <w:pPr>
      <w:tabs>
        <w:tab w:val="left" w:pos="907"/>
      </w:tabs>
      <w:spacing w:before="100" w:beforeAutospacing="1" w:after="100" w:afterAutospacing="1" w:line="240" w:lineRule="auto"/>
    </w:pPr>
    <w:rPr>
      <w:rFonts w:eastAsia="Times New Roman" w:cs="Times New Roman"/>
      <w:sz w:val="24"/>
      <w:szCs w:val="24"/>
      <w:lang w:val="en-US"/>
    </w:rPr>
  </w:style>
  <w:style w:type="character" w:styleId="Hyperlink">
    <w:name w:val="Hyperlink"/>
    <w:uiPriority w:val="99"/>
    <w:rsid w:val="00BD6FC0"/>
    <w:rPr>
      <w:rFonts w:ascii="Times New Roman" w:eastAsia="Times New Roman" w:hAnsi="Times New Roman" w:cs="Times New Roman"/>
      <w:color w:val="0000FF"/>
      <w:u w:val="single"/>
    </w:rPr>
  </w:style>
  <w:style w:type="paragraph" w:styleId="ListParagraph">
    <w:name w:val="List Paragraph"/>
    <w:basedOn w:val="Normal"/>
    <w:uiPriority w:val="34"/>
    <w:qFormat/>
    <w:rsid w:val="00085B86"/>
    <w:pPr>
      <w:ind w:left="720"/>
      <w:contextualSpacing/>
    </w:pPr>
  </w:style>
  <w:style w:type="table" w:styleId="TableGrid">
    <w:name w:val="Table Grid"/>
    <w:basedOn w:val="TableNormal"/>
    <w:uiPriority w:val="59"/>
    <w:rsid w:val="003837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3002">
      <w:bodyDiv w:val="1"/>
      <w:marLeft w:val="0"/>
      <w:marRight w:val="0"/>
      <w:marTop w:val="0"/>
      <w:marBottom w:val="0"/>
      <w:divBdr>
        <w:top w:val="none" w:sz="0" w:space="0" w:color="auto"/>
        <w:left w:val="none" w:sz="0" w:space="0" w:color="auto"/>
        <w:bottom w:val="none" w:sz="0" w:space="0" w:color="auto"/>
        <w:right w:val="none" w:sz="0" w:space="0" w:color="auto"/>
      </w:divBdr>
    </w:div>
    <w:div w:id="500701503">
      <w:bodyDiv w:val="1"/>
      <w:marLeft w:val="0"/>
      <w:marRight w:val="0"/>
      <w:marTop w:val="0"/>
      <w:marBottom w:val="0"/>
      <w:divBdr>
        <w:top w:val="none" w:sz="0" w:space="0" w:color="auto"/>
        <w:left w:val="none" w:sz="0" w:space="0" w:color="auto"/>
        <w:bottom w:val="none" w:sz="0" w:space="0" w:color="auto"/>
        <w:right w:val="none" w:sz="0" w:space="0" w:color="auto"/>
      </w:divBdr>
    </w:div>
    <w:div w:id="187900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evndienlucvietn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ietkiemnangluong.vn/" TargetMode="External"/><Relationship Id="rId5" Type="http://schemas.openxmlformats.org/officeDocument/2006/relationships/styles" Target="styles.xml"/><Relationship Id="rId10" Type="http://schemas.openxmlformats.org/officeDocument/2006/relationships/hyperlink" Target="http://www.evn.com.vn/" TargetMode="External"/><Relationship Id="rId4" Type="http://schemas.openxmlformats.org/officeDocument/2006/relationships/numbering" Target="numbering.xml"/><Relationship Id="rId9" Type="http://schemas.openxmlformats.org/officeDocument/2006/relationships/hyperlink" Target="mailto:bantt@evn.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C27E2-1CFF-4CC0-B750-143064975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078C2-2DBB-46D3-A4DC-57BEF3E0391A}">
  <ds:schemaRefs>
    <ds:schemaRef ds:uri="http://schemas.microsoft.com/sharepoint/v3/contenttype/forms"/>
  </ds:schemaRefs>
</ds:datastoreItem>
</file>

<file path=customXml/itemProps3.xml><?xml version="1.0" encoding="utf-8"?>
<ds:datastoreItem xmlns:ds="http://schemas.openxmlformats.org/officeDocument/2006/customXml" ds:itemID="{36A7A5BF-9858-4EF6-83DC-F26FC6500A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Mai Phuong</dc:creator>
  <cp:keywords/>
  <dc:description/>
  <cp:lastModifiedBy>TRAN VIET TRUNG</cp:lastModifiedBy>
  <cp:revision>3</cp:revision>
  <dcterms:created xsi:type="dcterms:W3CDTF">2020-11-16T08:54:00Z</dcterms:created>
  <dcterms:modified xsi:type="dcterms:W3CDTF">2020-11-16T09:01:00Z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