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248" w:type="dxa"/>
        <w:tblInd w:w="108" w:type="dxa"/>
        <w:tblLayout w:type="fixed"/>
        <w:tblLook w:val="01E0" w:firstRow="1" w:lastRow="1" w:firstColumn="1" w:lastColumn="1" w:noHBand="0" w:noVBand="0"/>
      </w:tblPr>
      <w:tblGrid>
        <w:gridCol w:w="1560"/>
        <w:gridCol w:w="7688"/>
      </w:tblGrid>
      <w:tr w:rsidR="00B8020C" w:rsidRPr="00D25854" w14:paraId="18EE4213" w14:textId="77777777" w:rsidTr="00883AF9">
        <w:tc>
          <w:tcPr>
            <w:tcW w:w="1560" w:type="dxa"/>
            <w:shd w:val="clear" w:color="auto" w:fill="auto"/>
            <w:vAlign w:val="center"/>
          </w:tcPr>
          <w:p w14:paraId="180A67CC" w14:textId="77777777" w:rsidR="00B8020C" w:rsidRPr="00D25854" w:rsidRDefault="00B8020C" w:rsidP="00883AF9">
            <w:pPr>
              <w:jc w:val="center"/>
              <w:rPr>
                <w:b/>
                <w:sz w:val="36"/>
              </w:rPr>
            </w:pPr>
            <w:r>
              <w:rPr>
                <w:noProof/>
              </w:rPr>
              <w:drawing>
                <wp:inline distT="0" distB="0" distL="0" distR="0" wp14:anchorId="77F5D628" wp14:editId="2D25A62E">
                  <wp:extent cx="81915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114425"/>
                          </a:xfrm>
                          <a:prstGeom prst="rect">
                            <a:avLst/>
                          </a:prstGeom>
                          <a:noFill/>
                          <a:ln>
                            <a:noFill/>
                          </a:ln>
                        </pic:spPr>
                      </pic:pic>
                    </a:graphicData>
                  </a:graphic>
                </wp:inline>
              </w:drawing>
            </w:r>
          </w:p>
        </w:tc>
        <w:tc>
          <w:tcPr>
            <w:tcW w:w="7688" w:type="dxa"/>
            <w:shd w:val="clear" w:color="auto" w:fill="auto"/>
          </w:tcPr>
          <w:p w14:paraId="623CC783" w14:textId="77777777" w:rsidR="00B8020C" w:rsidRPr="006252BB" w:rsidRDefault="00B8020C" w:rsidP="00883AF9">
            <w:pPr>
              <w:ind w:left="-23"/>
              <w:jc w:val="center"/>
              <w:rPr>
                <w:rFonts w:ascii="Arial" w:hAnsi="Arial" w:cs="Arial"/>
                <w:b/>
                <w:color w:val="003296"/>
                <w:sz w:val="32"/>
                <w:szCs w:val="32"/>
              </w:rPr>
            </w:pPr>
            <w:r w:rsidRPr="006252BB">
              <w:rPr>
                <w:rFonts w:ascii="Arial" w:hAnsi="Arial" w:cs="Arial"/>
                <w:b/>
                <w:color w:val="003296"/>
                <w:sz w:val="32"/>
                <w:szCs w:val="32"/>
              </w:rPr>
              <w:t>TẬP ĐOÀN ĐIỆN LỰC VIỆT NAM</w:t>
            </w:r>
          </w:p>
          <w:p w14:paraId="50BED497" w14:textId="77777777" w:rsidR="00B8020C" w:rsidRPr="00D25854" w:rsidRDefault="00B8020C" w:rsidP="00883AF9">
            <w:pPr>
              <w:tabs>
                <w:tab w:val="left" w:pos="476"/>
              </w:tabs>
              <w:ind w:left="-23"/>
              <w:jc w:val="center"/>
              <w:rPr>
                <w:b/>
                <w:bCs/>
              </w:rPr>
            </w:pPr>
            <w:r w:rsidRPr="00D25854">
              <w:rPr>
                <w:b/>
                <w:bCs/>
              </w:rPr>
              <w:t xml:space="preserve">THÔNG </w:t>
            </w:r>
            <w:r>
              <w:rPr>
                <w:b/>
                <w:bCs/>
              </w:rPr>
              <w:t>TIN</w:t>
            </w:r>
            <w:r w:rsidRPr="00D25854">
              <w:rPr>
                <w:b/>
                <w:bCs/>
              </w:rPr>
              <w:t xml:space="preserve"> BÁO CHÍ</w:t>
            </w:r>
          </w:p>
          <w:p w14:paraId="13AB9D5D" w14:textId="77777777" w:rsidR="00B8020C" w:rsidRDefault="00B8020C" w:rsidP="00B8020C">
            <w:pPr>
              <w:spacing w:before="240"/>
              <w:ind w:firstLine="567"/>
              <w:jc w:val="right"/>
              <w:rPr>
                <w:i/>
                <w:sz w:val="27"/>
                <w:szCs w:val="27"/>
              </w:rPr>
            </w:pPr>
          </w:p>
          <w:p w14:paraId="302BBC94" w14:textId="11B89EFB" w:rsidR="00B8020C" w:rsidRPr="00B8020C" w:rsidRDefault="00B8020C" w:rsidP="00B8020C">
            <w:pPr>
              <w:spacing w:before="240"/>
              <w:ind w:firstLine="567"/>
              <w:jc w:val="center"/>
              <w:rPr>
                <w:i/>
                <w:sz w:val="27"/>
                <w:szCs w:val="27"/>
              </w:rPr>
            </w:pPr>
            <w:r w:rsidRPr="009F4297">
              <w:rPr>
                <w:i/>
                <w:sz w:val="27"/>
                <w:szCs w:val="27"/>
              </w:rPr>
              <w:t>Hà Nội, ngày</w:t>
            </w:r>
            <w:r>
              <w:rPr>
                <w:i/>
                <w:sz w:val="27"/>
                <w:szCs w:val="27"/>
              </w:rPr>
              <w:t xml:space="preserve"> </w:t>
            </w:r>
            <w:r>
              <w:rPr>
                <w:i/>
                <w:sz w:val="27"/>
                <w:szCs w:val="27"/>
              </w:rPr>
              <w:t>31</w:t>
            </w:r>
            <w:r>
              <w:rPr>
                <w:i/>
                <w:sz w:val="27"/>
                <w:szCs w:val="27"/>
              </w:rPr>
              <w:t xml:space="preserve"> </w:t>
            </w:r>
            <w:r w:rsidRPr="009F4297">
              <w:rPr>
                <w:i/>
                <w:sz w:val="27"/>
                <w:szCs w:val="27"/>
              </w:rPr>
              <w:t xml:space="preserve">tháng </w:t>
            </w:r>
            <w:r>
              <w:rPr>
                <w:i/>
                <w:sz w:val="27"/>
                <w:szCs w:val="27"/>
              </w:rPr>
              <w:t>12</w:t>
            </w:r>
            <w:r w:rsidRPr="009F4297">
              <w:rPr>
                <w:i/>
                <w:sz w:val="27"/>
                <w:szCs w:val="27"/>
              </w:rPr>
              <w:t xml:space="preserve"> năm </w:t>
            </w:r>
            <w:r>
              <w:rPr>
                <w:i/>
                <w:sz w:val="27"/>
                <w:szCs w:val="27"/>
              </w:rPr>
              <w:t>202</w:t>
            </w:r>
            <w:r>
              <w:rPr>
                <w:i/>
                <w:sz w:val="27"/>
                <w:szCs w:val="27"/>
              </w:rPr>
              <w:t>3</w:t>
            </w:r>
          </w:p>
        </w:tc>
      </w:tr>
    </w:tbl>
    <w:p w14:paraId="72DA42E7" w14:textId="77777777" w:rsidR="00B8020C" w:rsidRDefault="00B8020C" w:rsidP="00B8020C">
      <w:pPr>
        <w:jc w:val="center"/>
        <w:rPr>
          <w:b/>
          <w:bCs/>
        </w:rPr>
      </w:pPr>
    </w:p>
    <w:p w14:paraId="2FC4ED4E" w14:textId="7FA1878E" w:rsidR="00B8020C" w:rsidRDefault="00B8020C" w:rsidP="00B8020C">
      <w:pPr>
        <w:jc w:val="center"/>
        <w:rPr>
          <w:b/>
          <w:bCs/>
        </w:rPr>
      </w:pPr>
      <w:r w:rsidRPr="00B8020C">
        <w:rPr>
          <w:b/>
          <w:bCs/>
        </w:rPr>
        <w:t>MỘT SỐ SỐ LIỆU TỔNG QUAN VỀ</w:t>
      </w:r>
    </w:p>
    <w:p w14:paraId="6B362AD9" w14:textId="49975163" w:rsidR="006E14DD" w:rsidRPr="00B8020C" w:rsidRDefault="00B8020C" w:rsidP="00B8020C">
      <w:pPr>
        <w:jc w:val="center"/>
        <w:rPr>
          <w:b/>
          <w:bCs/>
        </w:rPr>
      </w:pPr>
      <w:r w:rsidRPr="00B8020C">
        <w:rPr>
          <w:b/>
          <w:bCs/>
        </w:rPr>
        <w:t xml:space="preserve">NGUỒN ĐIỆN </w:t>
      </w:r>
      <w:r>
        <w:rPr>
          <w:b/>
          <w:bCs/>
        </w:rPr>
        <w:t xml:space="preserve">TOÀN </w:t>
      </w:r>
      <w:r w:rsidRPr="00B8020C">
        <w:rPr>
          <w:b/>
          <w:bCs/>
        </w:rPr>
        <w:t>QUỐC NĂM 2023</w:t>
      </w:r>
    </w:p>
    <w:p w14:paraId="16C7DE9A" w14:textId="77777777" w:rsidR="00B8020C" w:rsidRDefault="00B8020C"/>
    <w:p w14:paraId="51B6E79C" w14:textId="050ABC0A" w:rsidR="00B8020C" w:rsidRPr="00B8020C" w:rsidRDefault="00B8020C" w:rsidP="00B8020C">
      <w:pPr>
        <w:jc w:val="both"/>
        <w:rPr>
          <w:b/>
          <w:bCs/>
        </w:rPr>
      </w:pPr>
      <w:r w:rsidRPr="00B8020C">
        <w:rPr>
          <w:b/>
          <w:bCs/>
        </w:rPr>
        <w:t>1. Về cơ cấu nguồn</w:t>
      </w:r>
    </w:p>
    <w:p w14:paraId="2F74BCC2" w14:textId="17C73E8A" w:rsidR="00B8020C" w:rsidRDefault="00B8020C" w:rsidP="00B8020C">
      <w:pPr>
        <w:jc w:val="both"/>
      </w:pPr>
      <w:r>
        <w:t>Đ</w:t>
      </w:r>
      <w:r>
        <w:t>ến cuối năm 2023</w:t>
      </w:r>
      <w:r>
        <w:t>, t</w:t>
      </w:r>
      <w:r>
        <w:t>ổng công suất nguồn điện (đã COD) toàn hệ thống đạt khoảng 80.555MW, tăng ~2.800 MW so với năm 2022, trong đó tổng công suất các nguồn điện năng lượng tái tạo (điện gió, điện mặt trời) là 21.664</w:t>
      </w:r>
      <w:r>
        <w:t xml:space="preserve"> </w:t>
      </w:r>
      <w:r>
        <w:t xml:space="preserve">MW và chiếm tỷ trọng 27%, </w:t>
      </w:r>
      <w:r>
        <w:t>nhiệt điện</w:t>
      </w:r>
      <w:r>
        <w:t xml:space="preserve"> than là 26.757MW, chiếm tỷ trọng 33,2%; thủy điện (bao gồm TĐ nhỏ) là 22.872 MW, chiếm tỷ trọng 28,4%. Quy mô hệ thống điện Việt Nam đứng đầu khu vực ASEAN về công suất nguồn điện.</w:t>
      </w:r>
    </w:p>
    <w:p w14:paraId="7050E3EF" w14:textId="748AEC5A" w:rsidR="00B8020C" w:rsidRDefault="00B8020C" w:rsidP="00B8020C">
      <w:pPr>
        <w:jc w:val="both"/>
      </w:pPr>
      <w:r w:rsidRPr="00B8020C">
        <w:drawing>
          <wp:inline distT="0" distB="0" distL="0" distR="0" wp14:anchorId="109A3D19" wp14:editId="6D3F0410">
            <wp:extent cx="5832475" cy="2942590"/>
            <wp:effectExtent l="0" t="0" r="0" b="0"/>
            <wp:docPr id="152024473" name="Picture 1" descr="A chart of pie char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24473" name="Picture 1" descr="A chart of pie charts&#10;&#10;Description automatically generated with medium confidence"/>
                    <pic:cNvPicPr/>
                  </pic:nvPicPr>
                  <pic:blipFill>
                    <a:blip r:embed="rId6"/>
                    <a:stretch>
                      <a:fillRect/>
                    </a:stretch>
                  </pic:blipFill>
                  <pic:spPr>
                    <a:xfrm>
                      <a:off x="0" y="0"/>
                      <a:ext cx="5832475" cy="2942590"/>
                    </a:xfrm>
                    <a:prstGeom prst="rect">
                      <a:avLst/>
                    </a:prstGeom>
                  </pic:spPr>
                </pic:pic>
              </a:graphicData>
            </a:graphic>
          </wp:inline>
        </w:drawing>
      </w:r>
    </w:p>
    <w:p w14:paraId="5C093626" w14:textId="4CB9D86A" w:rsidR="00B8020C" w:rsidRPr="00B8020C" w:rsidRDefault="00B8020C" w:rsidP="00B8020C">
      <w:pPr>
        <w:jc w:val="both"/>
        <w:rPr>
          <w:b/>
          <w:bCs/>
        </w:rPr>
      </w:pPr>
      <w:r w:rsidRPr="00B8020C">
        <w:rPr>
          <w:b/>
          <w:bCs/>
        </w:rPr>
        <w:t xml:space="preserve">2. </w:t>
      </w:r>
      <w:r w:rsidRPr="00B8020C">
        <w:rPr>
          <w:b/>
          <w:bCs/>
        </w:rPr>
        <w:t>Về sản xuất điện</w:t>
      </w:r>
    </w:p>
    <w:p w14:paraId="686F49B6" w14:textId="77777777" w:rsidR="00B8020C" w:rsidRDefault="00B8020C" w:rsidP="00B8020C">
      <w:pPr>
        <w:jc w:val="both"/>
      </w:pPr>
      <w:r>
        <w:t>- Sản lượng điện sản xuất và nhập khẩu toàn hệ thống năm 2023 là 280,6 tỷ kWh, tăng 4,56% so năm 2022.</w:t>
      </w:r>
    </w:p>
    <w:p w14:paraId="106BB944" w14:textId="77777777" w:rsidR="00B8020C" w:rsidRDefault="00B8020C" w:rsidP="00B8020C">
      <w:pPr>
        <w:jc w:val="both"/>
      </w:pPr>
      <w:r>
        <w:t>- Công suất phụ tải cực đại toàn hệ thống (Pmax) năm 2023 là 46.348MW, tăng 2,01% so với năm 2022.</w:t>
      </w:r>
    </w:p>
    <w:p w14:paraId="2AF27B72" w14:textId="0CA7A438" w:rsidR="00AD6E40" w:rsidRDefault="00B8020C" w:rsidP="00B8020C">
      <w:pPr>
        <w:jc w:val="both"/>
      </w:pPr>
      <w:r>
        <w:t>- Điện sản xuất và mua của EVN năm 2023 ước đạt 271,1 tỷ kWh, tăng 3,45% so năm 2022 (trong đó: điện sản xuất của các NMĐ trực thuộc Công ty mẹ EVN chiếm ~14,7%, các NMĐ trực thuộc các GENCO chiếm ~27,8%, mua của các nguồn ngoài chiếm 57,4%).</w:t>
      </w:r>
    </w:p>
    <w:p w14:paraId="046FB3F8" w14:textId="750BFDF1" w:rsidR="00AD6E40" w:rsidRPr="00D33B85" w:rsidRDefault="00AD6E40" w:rsidP="00AD6E40">
      <w:pPr>
        <w:tabs>
          <w:tab w:val="left" w:pos="-5590"/>
          <w:tab w:val="left" w:pos="-5200"/>
          <w:tab w:val="num" w:pos="840"/>
          <w:tab w:val="num" w:pos="1092"/>
        </w:tabs>
        <w:spacing w:before="120" w:line="276" w:lineRule="auto"/>
        <w:jc w:val="center"/>
        <w:rPr>
          <w:b/>
          <w:i/>
          <w:szCs w:val="27"/>
          <w:lang w:val="da-DK"/>
        </w:rPr>
      </w:pPr>
      <w:r>
        <w:br w:type="page"/>
      </w:r>
      <w:r w:rsidRPr="00D33B85">
        <w:rPr>
          <w:b/>
          <w:i/>
          <w:szCs w:val="27"/>
          <w:lang w:val="da-DK"/>
        </w:rPr>
        <w:lastRenderedPageBreak/>
        <w:t xml:space="preserve"> </w:t>
      </w:r>
      <w:r w:rsidR="00CE20EE">
        <w:rPr>
          <w:b/>
          <w:i/>
          <w:szCs w:val="27"/>
          <w:lang w:val="da-DK"/>
        </w:rPr>
        <w:t>Sản lượng đ</w:t>
      </w:r>
      <w:r w:rsidRPr="00D33B85">
        <w:rPr>
          <w:b/>
          <w:i/>
          <w:szCs w:val="27"/>
          <w:lang w:val="da-DK"/>
        </w:rPr>
        <w:t>iện sản xuất và nhập khẩu toàn hệ thống năm 2023 (triệu kWh)</w:t>
      </w:r>
    </w:p>
    <w:tbl>
      <w:tblPr>
        <w:tblW w:w="62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40"/>
        <w:gridCol w:w="3173"/>
        <w:gridCol w:w="2409"/>
      </w:tblGrid>
      <w:tr w:rsidR="00AD6E40" w:rsidRPr="00D33B85" w14:paraId="3A9139BB" w14:textId="77777777" w:rsidTr="00AD6E40">
        <w:trPr>
          <w:trHeight w:val="442"/>
          <w:jc w:val="center"/>
        </w:trPr>
        <w:tc>
          <w:tcPr>
            <w:tcW w:w="640" w:type="dxa"/>
            <w:vMerge w:val="restart"/>
            <w:tcBorders>
              <w:top w:val="single" w:sz="12" w:space="0" w:color="auto"/>
              <w:bottom w:val="single" w:sz="6" w:space="0" w:color="auto"/>
            </w:tcBorders>
            <w:shd w:val="clear" w:color="auto" w:fill="C1E4F5" w:themeFill="accent1" w:themeFillTint="33"/>
            <w:noWrap/>
            <w:vAlign w:val="center"/>
            <w:hideMark/>
          </w:tcPr>
          <w:p w14:paraId="4C57E432" w14:textId="77777777" w:rsidR="00AD6E40" w:rsidRPr="00D33B85" w:rsidRDefault="00AD6E40" w:rsidP="00883AF9">
            <w:pPr>
              <w:spacing w:after="0"/>
              <w:jc w:val="center"/>
              <w:rPr>
                <w:rFonts w:eastAsia="Times New Roman"/>
                <w:b/>
                <w:sz w:val="24"/>
                <w:szCs w:val="24"/>
              </w:rPr>
            </w:pPr>
            <w:r w:rsidRPr="00D33B85">
              <w:rPr>
                <w:rFonts w:eastAsia="Times New Roman"/>
                <w:b/>
                <w:sz w:val="24"/>
                <w:szCs w:val="24"/>
              </w:rPr>
              <w:t>TT</w:t>
            </w:r>
          </w:p>
        </w:tc>
        <w:tc>
          <w:tcPr>
            <w:tcW w:w="3173" w:type="dxa"/>
            <w:vMerge w:val="restart"/>
            <w:tcBorders>
              <w:top w:val="single" w:sz="12" w:space="0" w:color="auto"/>
              <w:bottom w:val="single" w:sz="6" w:space="0" w:color="auto"/>
            </w:tcBorders>
            <w:shd w:val="clear" w:color="auto" w:fill="C1E4F5" w:themeFill="accent1" w:themeFillTint="33"/>
            <w:noWrap/>
            <w:vAlign w:val="center"/>
            <w:hideMark/>
          </w:tcPr>
          <w:p w14:paraId="62DA275B" w14:textId="77777777" w:rsidR="00AD6E40" w:rsidRPr="00D33B85" w:rsidRDefault="00AD6E40" w:rsidP="00883AF9">
            <w:pPr>
              <w:spacing w:after="0"/>
              <w:jc w:val="center"/>
              <w:rPr>
                <w:rFonts w:eastAsia="Times New Roman"/>
                <w:b/>
                <w:sz w:val="24"/>
                <w:szCs w:val="24"/>
              </w:rPr>
            </w:pPr>
            <w:r w:rsidRPr="00D33B85">
              <w:rPr>
                <w:rFonts w:eastAsia="Times New Roman"/>
                <w:b/>
                <w:sz w:val="24"/>
                <w:szCs w:val="24"/>
              </w:rPr>
              <w:t>Loại nguồn</w:t>
            </w:r>
          </w:p>
        </w:tc>
        <w:tc>
          <w:tcPr>
            <w:tcW w:w="2409" w:type="dxa"/>
            <w:vMerge w:val="restart"/>
            <w:tcBorders>
              <w:top w:val="single" w:sz="12" w:space="0" w:color="auto"/>
              <w:bottom w:val="single" w:sz="6" w:space="0" w:color="auto"/>
            </w:tcBorders>
            <w:shd w:val="clear" w:color="auto" w:fill="C1E4F5" w:themeFill="accent1" w:themeFillTint="33"/>
            <w:vAlign w:val="center"/>
            <w:hideMark/>
          </w:tcPr>
          <w:p w14:paraId="3B28730C" w14:textId="711259CD" w:rsidR="00AD6E40" w:rsidRPr="00D33B85" w:rsidRDefault="00AD6E40" w:rsidP="00883AF9">
            <w:pPr>
              <w:spacing w:after="0"/>
              <w:jc w:val="center"/>
              <w:rPr>
                <w:rFonts w:eastAsia="Times New Roman"/>
                <w:b/>
                <w:sz w:val="24"/>
                <w:szCs w:val="24"/>
              </w:rPr>
            </w:pPr>
            <w:r>
              <w:rPr>
                <w:rFonts w:eastAsia="Times New Roman"/>
                <w:b/>
                <w:sz w:val="24"/>
                <w:szCs w:val="24"/>
              </w:rPr>
              <w:t xml:space="preserve">Thực </w:t>
            </w:r>
            <w:r w:rsidRPr="00D33B85">
              <w:rPr>
                <w:rFonts w:eastAsia="Times New Roman"/>
                <w:b/>
                <w:sz w:val="24"/>
                <w:szCs w:val="24"/>
              </w:rPr>
              <w:t>hiện năm 2023</w:t>
            </w:r>
          </w:p>
        </w:tc>
      </w:tr>
      <w:tr w:rsidR="00AD6E40" w:rsidRPr="00D33B85" w14:paraId="6CBE7533" w14:textId="77777777" w:rsidTr="00AD6E40">
        <w:trPr>
          <w:trHeight w:val="442"/>
          <w:jc w:val="center"/>
        </w:trPr>
        <w:tc>
          <w:tcPr>
            <w:tcW w:w="640" w:type="dxa"/>
            <w:vMerge/>
            <w:tcBorders>
              <w:top w:val="single" w:sz="6" w:space="0" w:color="auto"/>
              <w:bottom w:val="single" w:sz="6" w:space="0" w:color="auto"/>
            </w:tcBorders>
            <w:shd w:val="clear" w:color="auto" w:fill="C1E4F5" w:themeFill="accent1" w:themeFillTint="33"/>
            <w:vAlign w:val="center"/>
            <w:hideMark/>
          </w:tcPr>
          <w:p w14:paraId="70609AC4" w14:textId="77777777" w:rsidR="00AD6E40" w:rsidRPr="00D33B85" w:rsidRDefault="00AD6E40" w:rsidP="00883AF9">
            <w:pPr>
              <w:spacing w:after="0"/>
              <w:rPr>
                <w:rFonts w:eastAsia="Times New Roman"/>
                <w:b/>
                <w:sz w:val="24"/>
                <w:szCs w:val="24"/>
              </w:rPr>
            </w:pPr>
          </w:p>
        </w:tc>
        <w:tc>
          <w:tcPr>
            <w:tcW w:w="3173" w:type="dxa"/>
            <w:vMerge/>
            <w:tcBorders>
              <w:top w:val="single" w:sz="6" w:space="0" w:color="auto"/>
              <w:bottom w:val="single" w:sz="6" w:space="0" w:color="auto"/>
            </w:tcBorders>
            <w:shd w:val="clear" w:color="auto" w:fill="C1E4F5" w:themeFill="accent1" w:themeFillTint="33"/>
            <w:vAlign w:val="center"/>
            <w:hideMark/>
          </w:tcPr>
          <w:p w14:paraId="451E3741" w14:textId="77777777" w:rsidR="00AD6E40" w:rsidRPr="00D33B85" w:rsidRDefault="00AD6E40" w:rsidP="00883AF9">
            <w:pPr>
              <w:spacing w:after="0"/>
              <w:rPr>
                <w:rFonts w:eastAsia="Times New Roman"/>
                <w:b/>
                <w:sz w:val="24"/>
                <w:szCs w:val="24"/>
              </w:rPr>
            </w:pPr>
          </w:p>
        </w:tc>
        <w:tc>
          <w:tcPr>
            <w:tcW w:w="2409" w:type="dxa"/>
            <w:vMerge/>
            <w:tcBorders>
              <w:top w:val="single" w:sz="6" w:space="0" w:color="auto"/>
              <w:bottom w:val="single" w:sz="6" w:space="0" w:color="auto"/>
            </w:tcBorders>
            <w:shd w:val="clear" w:color="auto" w:fill="C1E4F5" w:themeFill="accent1" w:themeFillTint="33"/>
            <w:vAlign w:val="center"/>
            <w:hideMark/>
          </w:tcPr>
          <w:p w14:paraId="35998FA6" w14:textId="77777777" w:rsidR="00AD6E40" w:rsidRPr="00D33B85" w:rsidRDefault="00AD6E40" w:rsidP="00883AF9">
            <w:pPr>
              <w:spacing w:after="0"/>
              <w:rPr>
                <w:rFonts w:eastAsia="Times New Roman"/>
                <w:b/>
                <w:sz w:val="24"/>
                <w:szCs w:val="24"/>
              </w:rPr>
            </w:pPr>
          </w:p>
        </w:tc>
      </w:tr>
      <w:tr w:rsidR="00AD6E40" w:rsidRPr="00D33B85" w14:paraId="061CFF5B" w14:textId="77777777" w:rsidTr="00AD6E40">
        <w:trPr>
          <w:trHeight w:val="397"/>
          <w:jc w:val="center"/>
        </w:trPr>
        <w:tc>
          <w:tcPr>
            <w:tcW w:w="640" w:type="dxa"/>
            <w:tcBorders>
              <w:top w:val="single" w:sz="6" w:space="0" w:color="auto"/>
            </w:tcBorders>
            <w:shd w:val="clear" w:color="auto" w:fill="auto"/>
            <w:noWrap/>
            <w:vAlign w:val="center"/>
            <w:hideMark/>
          </w:tcPr>
          <w:p w14:paraId="61A30549" w14:textId="77777777" w:rsidR="00AD6E40" w:rsidRPr="00D33B85" w:rsidRDefault="00AD6E40" w:rsidP="00883AF9">
            <w:pPr>
              <w:spacing w:after="0"/>
              <w:jc w:val="center"/>
              <w:rPr>
                <w:rFonts w:eastAsia="Times New Roman"/>
                <w:sz w:val="24"/>
                <w:szCs w:val="24"/>
              </w:rPr>
            </w:pPr>
            <w:r w:rsidRPr="00D33B85">
              <w:rPr>
                <w:rFonts w:eastAsia="Times New Roman"/>
                <w:sz w:val="24"/>
                <w:szCs w:val="24"/>
              </w:rPr>
              <w:t>1</w:t>
            </w:r>
          </w:p>
        </w:tc>
        <w:tc>
          <w:tcPr>
            <w:tcW w:w="3173" w:type="dxa"/>
            <w:tcBorders>
              <w:top w:val="single" w:sz="6" w:space="0" w:color="auto"/>
            </w:tcBorders>
            <w:shd w:val="clear" w:color="auto" w:fill="auto"/>
            <w:vAlign w:val="center"/>
            <w:hideMark/>
          </w:tcPr>
          <w:p w14:paraId="460EA0C1" w14:textId="77777777" w:rsidR="00AD6E40" w:rsidRPr="00D33B85" w:rsidRDefault="00AD6E40" w:rsidP="00883AF9">
            <w:pPr>
              <w:spacing w:after="0"/>
              <w:rPr>
                <w:rFonts w:eastAsia="Times New Roman"/>
                <w:sz w:val="24"/>
                <w:szCs w:val="24"/>
              </w:rPr>
            </w:pPr>
            <w:r w:rsidRPr="00D33B85">
              <w:rPr>
                <w:rFonts w:eastAsia="Times New Roman"/>
                <w:sz w:val="24"/>
                <w:szCs w:val="24"/>
              </w:rPr>
              <w:t>Thuỷ điện</w:t>
            </w:r>
          </w:p>
        </w:tc>
        <w:tc>
          <w:tcPr>
            <w:tcW w:w="2409" w:type="dxa"/>
            <w:tcBorders>
              <w:top w:val="single" w:sz="6" w:space="0" w:color="auto"/>
            </w:tcBorders>
            <w:shd w:val="clear" w:color="auto" w:fill="auto"/>
            <w:vAlign w:val="center"/>
            <w:hideMark/>
          </w:tcPr>
          <w:p w14:paraId="6820B2FE" w14:textId="7C505832" w:rsidR="00AD6E40" w:rsidRPr="00D33B85" w:rsidRDefault="00AD6E40" w:rsidP="00883AF9">
            <w:pPr>
              <w:spacing w:after="0"/>
              <w:jc w:val="right"/>
              <w:rPr>
                <w:rFonts w:eastAsia="Times New Roman"/>
                <w:sz w:val="24"/>
                <w:szCs w:val="24"/>
              </w:rPr>
            </w:pPr>
            <w:r w:rsidRPr="00D33B85">
              <w:rPr>
                <w:rFonts w:eastAsia="Times New Roman"/>
                <w:sz w:val="24"/>
                <w:szCs w:val="24"/>
              </w:rPr>
              <w:t>80</w:t>
            </w:r>
            <w:r>
              <w:rPr>
                <w:rFonts w:eastAsia="Times New Roman"/>
                <w:sz w:val="24"/>
                <w:szCs w:val="24"/>
              </w:rPr>
              <w:t>.</w:t>
            </w:r>
            <w:r w:rsidRPr="00D33B85">
              <w:rPr>
                <w:rFonts w:eastAsia="Times New Roman"/>
                <w:sz w:val="24"/>
                <w:szCs w:val="24"/>
              </w:rPr>
              <w:t xml:space="preserve">904 </w:t>
            </w:r>
          </w:p>
        </w:tc>
      </w:tr>
      <w:tr w:rsidR="00AD6E40" w:rsidRPr="00D33B85" w14:paraId="04E0C0F4" w14:textId="77777777" w:rsidTr="00AD6E40">
        <w:trPr>
          <w:trHeight w:val="397"/>
          <w:jc w:val="center"/>
        </w:trPr>
        <w:tc>
          <w:tcPr>
            <w:tcW w:w="640" w:type="dxa"/>
            <w:shd w:val="clear" w:color="auto" w:fill="auto"/>
            <w:noWrap/>
            <w:vAlign w:val="center"/>
            <w:hideMark/>
          </w:tcPr>
          <w:p w14:paraId="217CF26B" w14:textId="77777777" w:rsidR="00AD6E40" w:rsidRPr="00D33B85" w:rsidRDefault="00AD6E40" w:rsidP="00883AF9">
            <w:pPr>
              <w:spacing w:after="0"/>
              <w:jc w:val="center"/>
              <w:rPr>
                <w:rFonts w:eastAsia="Times New Roman"/>
                <w:sz w:val="24"/>
                <w:szCs w:val="24"/>
              </w:rPr>
            </w:pPr>
            <w:r w:rsidRPr="00D33B85">
              <w:rPr>
                <w:rFonts w:eastAsia="Times New Roman"/>
                <w:sz w:val="24"/>
                <w:szCs w:val="24"/>
              </w:rPr>
              <w:t>2</w:t>
            </w:r>
          </w:p>
        </w:tc>
        <w:tc>
          <w:tcPr>
            <w:tcW w:w="3173" w:type="dxa"/>
            <w:shd w:val="clear" w:color="auto" w:fill="auto"/>
            <w:vAlign w:val="center"/>
            <w:hideMark/>
          </w:tcPr>
          <w:p w14:paraId="516CBABA" w14:textId="77777777" w:rsidR="00AD6E40" w:rsidRPr="00D33B85" w:rsidRDefault="00AD6E40" w:rsidP="00883AF9">
            <w:pPr>
              <w:spacing w:after="0"/>
              <w:rPr>
                <w:rFonts w:eastAsia="Times New Roman"/>
                <w:sz w:val="24"/>
                <w:szCs w:val="24"/>
              </w:rPr>
            </w:pPr>
            <w:r w:rsidRPr="00D33B85">
              <w:rPr>
                <w:rFonts w:eastAsia="Times New Roman"/>
                <w:sz w:val="24"/>
                <w:szCs w:val="24"/>
              </w:rPr>
              <w:t>Nhiệt điện than</w:t>
            </w:r>
          </w:p>
        </w:tc>
        <w:tc>
          <w:tcPr>
            <w:tcW w:w="2409" w:type="dxa"/>
            <w:shd w:val="clear" w:color="auto" w:fill="auto"/>
            <w:vAlign w:val="center"/>
            <w:hideMark/>
          </w:tcPr>
          <w:p w14:paraId="17B23A7E" w14:textId="0ED256F8" w:rsidR="00AD6E40" w:rsidRPr="00D33B85" w:rsidRDefault="00AD6E40" w:rsidP="00883AF9">
            <w:pPr>
              <w:spacing w:after="0"/>
              <w:jc w:val="right"/>
              <w:rPr>
                <w:rFonts w:eastAsia="Times New Roman"/>
                <w:sz w:val="24"/>
                <w:szCs w:val="24"/>
              </w:rPr>
            </w:pPr>
            <w:r w:rsidRPr="00D33B85">
              <w:rPr>
                <w:rFonts w:eastAsia="Times New Roman"/>
                <w:sz w:val="24"/>
                <w:szCs w:val="24"/>
              </w:rPr>
              <w:t>129</w:t>
            </w:r>
            <w:r>
              <w:rPr>
                <w:rFonts w:eastAsia="Times New Roman"/>
                <w:sz w:val="24"/>
                <w:szCs w:val="24"/>
              </w:rPr>
              <w:t>.</w:t>
            </w:r>
            <w:r w:rsidRPr="00D33B85">
              <w:rPr>
                <w:rFonts w:eastAsia="Times New Roman"/>
                <w:sz w:val="24"/>
                <w:szCs w:val="24"/>
              </w:rPr>
              <w:t xml:space="preserve">577 </w:t>
            </w:r>
          </w:p>
        </w:tc>
      </w:tr>
      <w:tr w:rsidR="00AD6E40" w:rsidRPr="00D33B85" w14:paraId="3CE5DA2D" w14:textId="77777777" w:rsidTr="00AD6E40">
        <w:trPr>
          <w:trHeight w:val="397"/>
          <w:jc w:val="center"/>
        </w:trPr>
        <w:tc>
          <w:tcPr>
            <w:tcW w:w="640" w:type="dxa"/>
            <w:shd w:val="clear" w:color="auto" w:fill="auto"/>
            <w:noWrap/>
            <w:vAlign w:val="center"/>
            <w:hideMark/>
          </w:tcPr>
          <w:p w14:paraId="3D5704CB" w14:textId="77777777" w:rsidR="00AD6E40" w:rsidRPr="00D33B85" w:rsidRDefault="00AD6E40" w:rsidP="00883AF9">
            <w:pPr>
              <w:spacing w:after="0"/>
              <w:jc w:val="center"/>
              <w:rPr>
                <w:rFonts w:eastAsia="Times New Roman"/>
                <w:sz w:val="24"/>
                <w:szCs w:val="24"/>
              </w:rPr>
            </w:pPr>
            <w:r w:rsidRPr="00D33B85">
              <w:rPr>
                <w:rFonts w:eastAsia="Times New Roman"/>
                <w:sz w:val="24"/>
                <w:szCs w:val="24"/>
              </w:rPr>
              <w:t>3</w:t>
            </w:r>
          </w:p>
        </w:tc>
        <w:tc>
          <w:tcPr>
            <w:tcW w:w="3173" w:type="dxa"/>
            <w:shd w:val="clear" w:color="auto" w:fill="auto"/>
            <w:vAlign w:val="center"/>
            <w:hideMark/>
          </w:tcPr>
          <w:p w14:paraId="4E5FA368" w14:textId="77777777" w:rsidR="00AD6E40" w:rsidRPr="00D33B85" w:rsidRDefault="00AD6E40" w:rsidP="00883AF9">
            <w:pPr>
              <w:spacing w:after="0"/>
              <w:rPr>
                <w:rFonts w:eastAsia="Times New Roman"/>
                <w:sz w:val="24"/>
                <w:szCs w:val="24"/>
              </w:rPr>
            </w:pPr>
            <w:r w:rsidRPr="00D33B85">
              <w:rPr>
                <w:rFonts w:eastAsia="Times New Roman"/>
                <w:sz w:val="24"/>
                <w:szCs w:val="24"/>
              </w:rPr>
              <w:t>Tua bin khí</w:t>
            </w:r>
          </w:p>
        </w:tc>
        <w:tc>
          <w:tcPr>
            <w:tcW w:w="2409" w:type="dxa"/>
            <w:shd w:val="clear" w:color="auto" w:fill="auto"/>
            <w:vAlign w:val="center"/>
            <w:hideMark/>
          </w:tcPr>
          <w:p w14:paraId="556E4F83" w14:textId="7BB40A8F" w:rsidR="00AD6E40" w:rsidRPr="00D33B85" w:rsidRDefault="00AD6E40" w:rsidP="00883AF9">
            <w:pPr>
              <w:spacing w:after="0"/>
              <w:jc w:val="right"/>
              <w:rPr>
                <w:rFonts w:eastAsia="Times New Roman"/>
                <w:sz w:val="24"/>
                <w:szCs w:val="24"/>
              </w:rPr>
            </w:pPr>
            <w:r w:rsidRPr="00D33B85">
              <w:rPr>
                <w:rFonts w:eastAsia="Times New Roman"/>
                <w:sz w:val="24"/>
                <w:szCs w:val="24"/>
              </w:rPr>
              <w:t>26</w:t>
            </w:r>
            <w:r>
              <w:rPr>
                <w:rFonts w:eastAsia="Times New Roman"/>
                <w:sz w:val="24"/>
                <w:szCs w:val="24"/>
              </w:rPr>
              <w:t>.</w:t>
            </w:r>
            <w:r w:rsidRPr="00D33B85">
              <w:rPr>
                <w:rFonts w:eastAsia="Times New Roman"/>
                <w:sz w:val="24"/>
                <w:szCs w:val="24"/>
              </w:rPr>
              <w:t xml:space="preserve">315 </w:t>
            </w:r>
          </w:p>
        </w:tc>
      </w:tr>
      <w:tr w:rsidR="00AD6E40" w:rsidRPr="00D33B85" w14:paraId="66215440" w14:textId="77777777" w:rsidTr="00AD6E40">
        <w:trPr>
          <w:trHeight w:val="397"/>
          <w:jc w:val="center"/>
        </w:trPr>
        <w:tc>
          <w:tcPr>
            <w:tcW w:w="640" w:type="dxa"/>
            <w:shd w:val="clear" w:color="auto" w:fill="auto"/>
            <w:noWrap/>
            <w:vAlign w:val="center"/>
            <w:hideMark/>
          </w:tcPr>
          <w:p w14:paraId="58EFBF79" w14:textId="77777777" w:rsidR="00AD6E40" w:rsidRPr="00D33B85" w:rsidRDefault="00AD6E40" w:rsidP="00883AF9">
            <w:pPr>
              <w:spacing w:after="0"/>
              <w:jc w:val="center"/>
              <w:rPr>
                <w:rFonts w:eastAsia="Times New Roman"/>
                <w:sz w:val="24"/>
                <w:szCs w:val="24"/>
              </w:rPr>
            </w:pPr>
            <w:r w:rsidRPr="00D33B85">
              <w:rPr>
                <w:rFonts w:eastAsia="Times New Roman"/>
                <w:sz w:val="24"/>
                <w:szCs w:val="24"/>
              </w:rPr>
              <w:t>4</w:t>
            </w:r>
          </w:p>
        </w:tc>
        <w:tc>
          <w:tcPr>
            <w:tcW w:w="3173" w:type="dxa"/>
            <w:shd w:val="clear" w:color="auto" w:fill="auto"/>
            <w:vAlign w:val="center"/>
            <w:hideMark/>
          </w:tcPr>
          <w:p w14:paraId="0091579B" w14:textId="77777777" w:rsidR="00AD6E40" w:rsidRPr="00D33B85" w:rsidRDefault="00AD6E40" w:rsidP="00883AF9">
            <w:pPr>
              <w:spacing w:after="0"/>
              <w:rPr>
                <w:rFonts w:eastAsia="Times New Roman"/>
                <w:sz w:val="24"/>
                <w:szCs w:val="24"/>
              </w:rPr>
            </w:pPr>
            <w:r w:rsidRPr="00D33B85">
              <w:rPr>
                <w:rFonts w:eastAsia="Times New Roman"/>
                <w:sz w:val="24"/>
                <w:szCs w:val="24"/>
              </w:rPr>
              <w:t>Nhiệt điện dầu</w:t>
            </w:r>
          </w:p>
        </w:tc>
        <w:tc>
          <w:tcPr>
            <w:tcW w:w="2409" w:type="dxa"/>
            <w:shd w:val="clear" w:color="auto" w:fill="auto"/>
            <w:vAlign w:val="center"/>
            <w:hideMark/>
          </w:tcPr>
          <w:p w14:paraId="60996D95" w14:textId="77777777" w:rsidR="00AD6E40" w:rsidRPr="00D33B85" w:rsidRDefault="00AD6E40" w:rsidP="00883AF9">
            <w:pPr>
              <w:spacing w:after="0"/>
              <w:jc w:val="right"/>
              <w:rPr>
                <w:rFonts w:eastAsia="Times New Roman"/>
                <w:sz w:val="24"/>
                <w:szCs w:val="24"/>
              </w:rPr>
            </w:pPr>
            <w:r w:rsidRPr="00D33B85">
              <w:rPr>
                <w:rFonts w:eastAsia="Times New Roman"/>
                <w:sz w:val="24"/>
                <w:szCs w:val="24"/>
              </w:rPr>
              <w:t xml:space="preserve">1.267 </w:t>
            </w:r>
          </w:p>
        </w:tc>
      </w:tr>
      <w:tr w:rsidR="00AD6E40" w:rsidRPr="00D33B85" w14:paraId="30DFD04E" w14:textId="77777777" w:rsidTr="00AD6E40">
        <w:trPr>
          <w:trHeight w:val="397"/>
          <w:jc w:val="center"/>
        </w:trPr>
        <w:tc>
          <w:tcPr>
            <w:tcW w:w="640" w:type="dxa"/>
            <w:shd w:val="clear" w:color="auto" w:fill="auto"/>
            <w:noWrap/>
            <w:vAlign w:val="center"/>
            <w:hideMark/>
          </w:tcPr>
          <w:p w14:paraId="27AA172F" w14:textId="77777777" w:rsidR="00AD6E40" w:rsidRPr="00D33B85" w:rsidRDefault="00AD6E40" w:rsidP="00883AF9">
            <w:pPr>
              <w:spacing w:after="0"/>
              <w:jc w:val="center"/>
              <w:rPr>
                <w:rFonts w:eastAsia="Times New Roman"/>
                <w:sz w:val="24"/>
                <w:szCs w:val="24"/>
              </w:rPr>
            </w:pPr>
            <w:r w:rsidRPr="00D33B85">
              <w:rPr>
                <w:rFonts w:eastAsia="Times New Roman"/>
                <w:sz w:val="24"/>
                <w:szCs w:val="24"/>
              </w:rPr>
              <w:t>5</w:t>
            </w:r>
          </w:p>
        </w:tc>
        <w:tc>
          <w:tcPr>
            <w:tcW w:w="3173" w:type="dxa"/>
            <w:shd w:val="clear" w:color="auto" w:fill="auto"/>
            <w:vAlign w:val="center"/>
            <w:hideMark/>
          </w:tcPr>
          <w:p w14:paraId="43482A2F" w14:textId="77777777" w:rsidR="00AD6E40" w:rsidRPr="00D33B85" w:rsidRDefault="00AD6E40" w:rsidP="00883AF9">
            <w:pPr>
              <w:spacing w:after="0"/>
              <w:rPr>
                <w:rFonts w:eastAsia="Times New Roman"/>
                <w:sz w:val="24"/>
                <w:szCs w:val="24"/>
              </w:rPr>
            </w:pPr>
            <w:r w:rsidRPr="00D33B85">
              <w:rPr>
                <w:rFonts w:eastAsia="Times New Roman"/>
                <w:sz w:val="24"/>
                <w:szCs w:val="24"/>
              </w:rPr>
              <w:t>Nhập khẩu</w:t>
            </w:r>
          </w:p>
        </w:tc>
        <w:tc>
          <w:tcPr>
            <w:tcW w:w="2409" w:type="dxa"/>
            <w:shd w:val="clear" w:color="auto" w:fill="auto"/>
            <w:vAlign w:val="center"/>
            <w:hideMark/>
          </w:tcPr>
          <w:p w14:paraId="01F0705F" w14:textId="77777777" w:rsidR="00AD6E40" w:rsidRPr="00D33B85" w:rsidRDefault="00AD6E40" w:rsidP="00883AF9">
            <w:pPr>
              <w:spacing w:after="0"/>
              <w:jc w:val="right"/>
              <w:rPr>
                <w:rFonts w:eastAsia="Times New Roman"/>
                <w:sz w:val="24"/>
                <w:szCs w:val="24"/>
              </w:rPr>
            </w:pPr>
            <w:r w:rsidRPr="00D33B85">
              <w:rPr>
                <w:rFonts w:eastAsia="Times New Roman"/>
                <w:sz w:val="24"/>
                <w:szCs w:val="24"/>
              </w:rPr>
              <w:t xml:space="preserve">4.191 </w:t>
            </w:r>
          </w:p>
        </w:tc>
      </w:tr>
      <w:tr w:rsidR="00AD6E40" w:rsidRPr="00D33B85" w14:paraId="3F708BB7" w14:textId="77777777" w:rsidTr="00AD6E40">
        <w:trPr>
          <w:trHeight w:val="397"/>
          <w:jc w:val="center"/>
        </w:trPr>
        <w:tc>
          <w:tcPr>
            <w:tcW w:w="640" w:type="dxa"/>
            <w:shd w:val="clear" w:color="auto" w:fill="auto"/>
            <w:noWrap/>
            <w:vAlign w:val="center"/>
            <w:hideMark/>
          </w:tcPr>
          <w:p w14:paraId="1546FEDE" w14:textId="77777777" w:rsidR="00AD6E40" w:rsidRPr="00D33B85" w:rsidRDefault="00AD6E40" w:rsidP="00883AF9">
            <w:pPr>
              <w:spacing w:after="0"/>
              <w:jc w:val="center"/>
              <w:rPr>
                <w:rFonts w:eastAsia="Times New Roman"/>
                <w:sz w:val="24"/>
                <w:szCs w:val="24"/>
              </w:rPr>
            </w:pPr>
            <w:r w:rsidRPr="00D33B85">
              <w:rPr>
                <w:rFonts w:eastAsia="Times New Roman"/>
                <w:sz w:val="24"/>
                <w:szCs w:val="24"/>
              </w:rPr>
              <w:t>6</w:t>
            </w:r>
          </w:p>
        </w:tc>
        <w:tc>
          <w:tcPr>
            <w:tcW w:w="3173" w:type="dxa"/>
            <w:shd w:val="clear" w:color="auto" w:fill="auto"/>
            <w:vAlign w:val="center"/>
            <w:hideMark/>
          </w:tcPr>
          <w:p w14:paraId="5FAC4128" w14:textId="77777777" w:rsidR="00AD6E40" w:rsidRPr="00D33B85" w:rsidRDefault="00AD6E40" w:rsidP="00883AF9">
            <w:pPr>
              <w:spacing w:after="0"/>
              <w:rPr>
                <w:rFonts w:eastAsia="Times New Roman"/>
                <w:sz w:val="24"/>
                <w:szCs w:val="24"/>
              </w:rPr>
            </w:pPr>
            <w:r w:rsidRPr="00D33B85">
              <w:rPr>
                <w:rFonts w:eastAsia="Times New Roman"/>
                <w:sz w:val="24"/>
                <w:szCs w:val="24"/>
              </w:rPr>
              <w:t>NL tái tạo</w:t>
            </w:r>
          </w:p>
        </w:tc>
        <w:tc>
          <w:tcPr>
            <w:tcW w:w="2409" w:type="dxa"/>
            <w:shd w:val="clear" w:color="auto" w:fill="auto"/>
            <w:noWrap/>
            <w:vAlign w:val="center"/>
            <w:hideMark/>
          </w:tcPr>
          <w:p w14:paraId="3F079286" w14:textId="77777777" w:rsidR="00AD6E40" w:rsidRPr="00D33B85" w:rsidRDefault="00AD6E40" w:rsidP="00883AF9">
            <w:pPr>
              <w:spacing w:after="0"/>
              <w:jc w:val="right"/>
              <w:rPr>
                <w:rFonts w:eastAsia="Times New Roman"/>
                <w:sz w:val="24"/>
                <w:szCs w:val="24"/>
              </w:rPr>
            </w:pPr>
            <w:r w:rsidRPr="00D33B85">
              <w:rPr>
                <w:rFonts w:eastAsia="Times New Roman"/>
                <w:sz w:val="24"/>
                <w:szCs w:val="24"/>
              </w:rPr>
              <w:t>37.922</w:t>
            </w:r>
          </w:p>
        </w:tc>
      </w:tr>
      <w:tr w:rsidR="00AD6E40" w:rsidRPr="00D33B85" w14:paraId="110B7299" w14:textId="77777777" w:rsidTr="00AD6E40">
        <w:trPr>
          <w:trHeight w:val="397"/>
          <w:jc w:val="center"/>
        </w:trPr>
        <w:tc>
          <w:tcPr>
            <w:tcW w:w="640" w:type="dxa"/>
            <w:shd w:val="clear" w:color="auto" w:fill="auto"/>
            <w:noWrap/>
            <w:vAlign w:val="center"/>
            <w:hideMark/>
          </w:tcPr>
          <w:p w14:paraId="5BACD19B" w14:textId="77777777" w:rsidR="00AD6E40" w:rsidRPr="00D33B85" w:rsidRDefault="00AD6E40" w:rsidP="00883AF9">
            <w:pPr>
              <w:spacing w:after="0"/>
              <w:jc w:val="center"/>
              <w:rPr>
                <w:rFonts w:eastAsia="Times New Roman"/>
                <w:i/>
                <w:sz w:val="24"/>
                <w:szCs w:val="24"/>
              </w:rPr>
            </w:pPr>
            <w:r w:rsidRPr="00D33B85">
              <w:rPr>
                <w:rFonts w:eastAsia="Times New Roman"/>
                <w:i/>
                <w:sz w:val="24"/>
                <w:szCs w:val="24"/>
              </w:rPr>
              <w:t> </w:t>
            </w:r>
          </w:p>
        </w:tc>
        <w:tc>
          <w:tcPr>
            <w:tcW w:w="3173" w:type="dxa"/>
            <w:shd w:val="clear" w:color="auto" w:fill="auto"/>
            <w:vAlign w:val="center"/>
            <w:hideMark/>
          </w:tcPr>
          <w:p w14:paraId="0FF21741" w14:textId="77777777" w:rsidR="00AD6E40" w:rsidRPr="00D33B85" w:rsidRDefault="00AD6E40" w:rsidP="00883AF9">
            <w:pPr>
              <w:spacing w:after="0"/>
              <w:rPr>
                <w:rFonts w:eastAsia="Times New Roman"/>
                <w:i/>
                <w:sz w:val="24"/>
                <w:szCs w:val="24"/>
              </w:rPr>
            </w:pPr>
            <w:proofErr w:type="gramStart"/>
            <w:r w:rsidRPr="00D33B85">
              <w:rPr>
                <w:rFonts w:eastAsia="Times New Roman"/>
                <w:i/>
                <w:sz w:val="24"/>
                <w:szCs w:val="24"/>
              </w:rPr>
              <w:t>Tr.đó</w:t>
            </w:r>
            <w:proofErr w:type="gramEnd"/>
            <w:r w:rsidRPr="00D33B85">
              <w:rPr>
                <w:rFonts w:eastAsia="Times New Roman"/>
                <w:i/>
                <w:sz w:val="24"/>
                <w:szCs w:val="24"/>
              </w:rPr>
              <w:t>: Điện gió</w:t>
            </w:r>
          </w:p>
        </w:tc>
        <w:tc>
          <w:tcPr>
            <w:tcW w:w="2409" w:type="dxa"/>
            <w:shd w:val="clear" w:color="auto" w:fill="auto"/>
            <w:vAlign w:val="center"/>
            <w:hideMark/>
          </w:tcPr>
          <w:p w14:paraId="3E0F5D29" w14:textId="77777777" w:rsidR="00AD6E40" w:rsidRPr="00D33B85" w:rsidRDefault="00AD6E40" w:rsidP="00883AF9">
            <w:pPr>
              <w:spacing w:after="0"/>
              <w:jc w:val="right"/>
              <w:rPr>
                <w:rFonts w:eastAsia="Times New Roman"/>
                <w:sz w:val="24"/>
                <w:szCs w:val="24"/>
              </w:rPr>
            </w:pPr>
            <w:r w:rsidRPr="00D33B85">
              <w:rPr>
                <w:rFonts w:eastAsia="Times New Roman"/>
                <w:sz w:val="24"/>
                <w:szCs w:val="24"/>
              </w:rPr>
              <w:t xml:space="preserve">11.367 </w:t>
            </w:r>
          </w:p>
        </w:tc>
      </w:tr>
      <w:tr w:rsidR="00AD6E40" w:rsidRPr="00D33B85" w14:paraId="42FE353E" w14:textId="77777777" w:rsidTr="00AD6E40">
        <w:trPr>
          <w:trHeight w:val="397"/>
          <w:jc w:val="center"/>
        </w:trPr>
        <w:tc>
          <w:tcPr>
            <w:tcW w:w="640" w:type="dxa"/>
            <w:shd w:val="clear" w:color="auto" w:fill="auto"/>
            <w:noWrap/>
            <w:vAlign w:val="center"/>
            <w:hideMark/>
          </w:tcPr>
          <w:p w14:paraId="7F3823B5" w14:textId="77777777" w:rsidR="00AD6E40" w:rsidRPr="00D33B85" w:rsidRDefault="00AD6E40" w:rsidP="00883AF9">
            <w:pPr>
              <w:spacing w:after="0"/>
              <w:jc w:val="center"/>
              <w:rPr>
                <w:rFonts w:eastAsia="Times New Roman"/>
                <w:i/>
                <w:sz w:val="24"/>
                <w:szCs w:val="24"/>
              </w:rPr>
            </w:pPr>
            <w:r w:rsidRPr="00D33B85">
              <w:rPr>
                <w:rFonts w:eastAsia="Times New Roman"/>
                <w:i/>
                <w:sz w:val="24"/>
                <w:szCs w:val="24"/>
              </w:rPr>
              <w:t> </w:t>
            </w:r>
          </w:p>
        </w:tc>
        <w:tc>
          <w:tcPr>
            <w:tcW w:w="3173" w:type="dxa"/>
            <w:shd w:val="clear" w:color="auto" w:fill="auto"/>
            <w:vAlign w:val="center"/>
            <w:hideMark/>
          </w:tcPr>
          <w:p w14:paraId="27BEC593" w14:textId="77777777" w:rsidR="00AD6E40" w:rsidRPr="00D33B85" w:rsidRDefault="00AD6E40" w:rsidP="00883AF9">
            <w:pPr>
              <w:spacing w:after="0"/>
              <w:rPr>
                <w:rFonts w:eastAsia="Times New Roman"/>
                <w:i/>
                <w:sz w:val="24"/>
                <w:szCs w:val="24"/>
              </w:rPr>
            </w:pPr>
            <w:r w:rsidRPr="00D33B85">
              <w:rPr>
                <w:rFonts w:eastAsia="Times New Roman"/>
                <w:i/>
                <w:sz w:val="24"/>
                <w:szCs w:val="24"/>
              </w:rPr>
              <w:t xml:space="preserve">  Điện mặt trời</w:t>
            </w:r>
          </w:p>
        </w:tc>
        <w:tc>
          <w:tcPr>
            <w:tcW w:w="2409" w:type="dxa"/>
            <w:shd w:val="clear" w:color="auto" w:fill="auto"/>
            <w:vAlign w:val="center"/>
            <w:hideMark/>
          </w:tcPr>
          <w:p w14:paraId="4DE3913C" w14:textId="77777777" w:rsidR="00AD6E40" w:rsidRPr="00D33B85" w:rsidRDefault="00AD6E40" w:rsidP="00883AF9">
            <w:pPr>
              <w:spacing w:after="0"/>
              <w:jc w:val="right"/>
              <w:rPr>
                <w:rFonts w:eastAsia="Times New Roman"/>
                <w:sz w:val="24"/>
                <w:szCs w:val="24"/>
              </w:rPr>
            </w:pPr>
            <w:r w:rsidRPr="00D33B85">
              <w:rPr>
                <w:rFonts w:eastAsia="Times New Roman"/>
                <w:sz w:val="24"/>
                <w:szCs w:val="24"/>
              </w:rPr>
              <w:t xml:space="preserve">25.702 </w:t>
            </w:r>
          </w:p>
        </w:tc>
      </w:tr>
      <w:tr w:rsidR="00AD6E40" w:rsidRPr="00D33B85" w14:paraId="763F0E82" w14:textId="77777777" w:rsidTr="00AD6E40">
        <w:trPr>
          <w:trHeight w:val="397"/>
          <w:jc w:val="center"/>
        </w:trPr>
        <w:tc>
          <w:tcPr>
            <w:tcW w:w="640" w:type="dxa"/>
            <w:shd w:val="clear" w:color="auto" w:fill="auto"/>
            <w:noWrap/>
            <w:vAlign w:val="center"/>
            <w:hideMark/>
          </w:tcPr>
          <w:p w14:paraId="2D4D7480" w14:textId="77777777" w:rsidR="00AD6E40" w:rsidRPr="00D33B85" w:rsidRDefault="00AD6E40" w:rsidP="00883AF9">
            <w:pPr>
              <w:spacing w:after="0"/>
              <w:jc w:val="center"/>
              <w:rPr>
                <w:rFonts w:eastAsia="Times New Roman"/>
                <w:i/>
                <w:sz w:val="24"/>
                <w:szCs w:val="24"/>
              </w:rPr>
            </w:pPr>
            <w:r w:rsidRPr="00D33B85">
              <w:rPr>
                <w:rFonts w:eastAsia="Times New Roman"/>
                <w:i/>
                <w:sz w:val="24"/>
                <w:szCs w:val="24"/>
                <w:lang w:eastAsia="en-AU"/>
              </w:rPr>
              <w:t> </w:t>
            </w:r>
          </w:p>
        </w:tc>
        <w:tc>
          <w:tcPr>
            <w:tcW w:w="3173" w:type="dxa"/>
            <w:shd w:val="clear" w:color="auto" w:fill="auto"/>
            <w:vAlign w:val="center"/>
            <w:hideMark/>
          </w:tcPr>
          <w:p w14:paraId="0F7B1856" w14:textId="77777777" w:rsidR="00AD6E40" w:rsidRPr="00D33B85" w:rsidRDefault="00AD6E40" w:rsidP="00883AF9">
            <w:pPr>
              <w:spacing w:after="0"/>
              <w:rPr>
                <w:rFonts w:eastAsia="Times New Roman"/>
                <w:i/>
                <w:sz w:val="24"/>
                <w:szCs w:val="24"/>
              </w:rPr>
            </w:pPr>
            <w:r w:rsidRPr="00D33B85">
              <w:rPr>
                <w:rFonts w:eastAsia="Times New Roman"/>
                <w:i/>
                <w:sz w:val="24"/>
                <w:szCs w:val="24"/>
              </w:rPr>
              <w:t xml:space="preserve">  Sinh khối</w:t>
            </w:r>
          </w:p>
        </w:tc>
        <w:tc>
          <w:tcPr>
            <w:tcW w:w="2409" w:type="dxa"/>
            <w:shd w:val="clear" w:color="auto" w:fill="auto"/>
            <w:vAlign w:val="center"/>
            <w:hideMark/>
          </w:tcPr>
          <w:p w14:paraId="0D566B2A" w14:textId="77777777" w:rsidR="00AD6E40" w:rsidRPr="00D33B85" w:rsidRDefault="00AD6E40" w:rsidP="00883AF9">
            <w:pPr>
              <w:spacing w:after="0"/>
              <w:jc w:val="right"/>
              <w:rPr>
                <w:rFonts w:eastAsia="Times New Roman"/>
                <w:sz w:val="24"/>
                <w:szCs w:val="24"/>
              </w:rPr>
            </w:pPr>
            <w:r w:rsidRPr="00D33B85">
              <w:rPr>
                <w:rFonts w:eastAsia="Times New Roman"/>
                <w:sz w:val="24"/>
                <w:szCs w:val="24"/>
              </w:rPr>
              <w:t xml:space="preserve"> 853 </w:t>
            </w:r>
          </w:p>
        </w:tc>
      </w:tr>
      <w:tr w:rsidR="00AD6E40" w:rsidRPr="00D33B85" w14:paraId="52F412D2" w14:textId="77777777" w:rsidTr="00AD6E40">
        <w:trPr>
          <w:trHeight w:val="397"/>
          <w:jc w:val="center"/>
        </w:trPr>
        <w:tc>
          <w:tcPr>
            <w:tcW w:w="640" w:type="dxa"/>
            <w:shd w:val="clear" w:color="auto" w:fill="auto"/>
            <w:noWrap/>
            <w:vAlign w:val="center"/>
            <w:hideMark/>
          </w:tcPr>
          <w:p w14:paraId="6C1C7601" w14:textId="77777777" w:rsidR="00AD6E40" w:rsidRPr="00D33B85" w:rsidRDefault="00AD6E40" w:rsidP="00883AF9">
            <w:pPr>
              <w:spacing w:after="0"/>
              <w:jc w:val="center"/>
              <w:rPr>
                <w:rFonts w:eastAsia="Times New Roman"/>
                <w:sz w:val="24"/>
                <w:szCs w:val="24"/>
              </w:rPr>
            </w:pPr>
            <w:r w:rsidRPr="00D33B85">
              <w:rPr>
                <w:rFonts w:eastAsia="Times New Roman"/>
                <w:sz w:val="24"/>
                <w:szCs w:val="24"/>
              </w:rPr>
              <w:t>7</w:t>
            </w:r>
          </w:p>
        </w:tc>
        <w:tc>
          <w:tcPr>
            <w:tcW w:w="3173" w:type="dxa"/>
            <w:shd w:val="clear" w:color="auto" w:fill="auto"/>
            <w:vAlign w:val="center"/>
            <w:hideMark/>
          </w:tcPr>
          <w:p w14:paraId="1AE7EA0B" w14:textId="77777777" w:rsidR="00AD6E40" w:rsidRPr="00D33B85" w:rsidRDefault="00AD6E40" w:rsidP="00883AF9">
            <w:pPr>
              <w:spacing w:after="0"/>
              <w:rPr>
                <w:rFonts w:eastAsia="Times New Roman"/>
                <w:sz w:val="24"/>
                <w:szCs w:val="24"/>
              </w:rPr>
            </w:pPr>
            <w:r w:rsidRPr="00D33B85">
              <w:rPr>
                <w:rFonts w:eastAsia="Times New Roman"/>
                <w:sz w:val="24"/>
                <w:szCs w:val="24"/>
              </w:rPr>
              <w:t>Nguồn khác</w:t>
            </w:r>
          </w:p>
        </w:tc>
        <w:tc>
          <w:tcPr>
            <w:tcW w:w="2409" w:type="dxa"/>
            <w:shd w:val="clear" w:color="auto" w:fill="auto"/>
            <w:vAlign w:val="center"/>
            <w:hideMark/>
          </w:tcPr>
          <w:p w14:paraId="0E891C8C" w14:textId="77777777" w:rsidR="00AD6E40" w:rsidRPr="00D33B85" w:rsidRDefault="00AD6E40" w:rsidP="00883AF9">
            <w:pPr>
              <w:spacing w:after="0"/>
              <w:jc w:val="right"/>
              <w:rPr>
                <w:rFonts w:eastAsia="Times New Roman"/>
                <w:sz w:val="24"/>
                <w:szCs w:val="24"/>
              </w:rPr>
            </w:pPr>
            <w:r w:rsidRPr="00D33B85">
              <w:rPr>
                <w:rFonts w:eastAsia="Times New Roman"/>
                <w:sz w:val="24"/>
                <w:szCs w:val="24"/>
              </w:rPr>
              <w:t xml:space="preserve"> 453 </w:t>
            </w:r>
          </w:p>
        </w:tc>
      </w:tr>
      <w:tr w:rsidR="00AD6E40" w:rsidRPr="00D33B85" w14:paraId="5CA83D4F" w14:textId="77777777" w:rsidTr="00AD6E40">
        <w:trPr>
          <w:trHeight w:val="397"/>
          <w:jc w:val="center"/>
        </w:trPr>
        <w:tc>
          <w:tcPr>
            <w:tcW w:w="640" w:type="dxa"/>
            <w:shd w:val="clear" w:color="auto" w:fill="auto"/>
            <w:noWrap/>
            <w:vAlign w:val="center"/>
            <w:hideMark/>
          </w:tcPr>
          <w:p w14:paraId="7882DBD3" w14:textId="77777777" w:rsidR="00AD6E40" w:rsidRPr="00D33B85" w:rsidRDefault="00AD6E40" w:rsidP="00883AF9">
            <w:pPr>
              <w:spacing w:after="0"/>
              <w:jc w:val="center"/>
              <w:rPr>
                <w:rFonts w:eastAsia="Times New Roman"/>
                <w:sz w:val="24"/>
                <w:szCs w:val="24"/>
              </w:rPr>
            </w:pPr>
            <w:r w:rsidRPr="00D33B85">
              <w:rPr>
                <w:rFonts w:eastAsia="Times New Roman"/>
                <w:sz w:val="24"/>
                <w:szCs w:val="24"/>
              </w:rPr>
              <w:t> </w:t>
            </w:r>
          </w:p>
        </w:tc>
        <w:tc>
          <w:tcPr>
            <w:tcW w:w="3173" w:type="dxa"/>
            <w:shd w:val="clear" w:color="auto" w:fill="auto"/>
            <w:vAlign w:val="center"/>
            <w:hideMark/>
          </w:tcPr>
          <w:p w14:paraId="4F38302D" w14:textId="77777777" w:rsidR="00AD6E40" w:rsidRPr="00D33B85" w:rsidRDefault="00AD6E40" w:rsidP="00883AF9">
            <w:pPr>
              <w:spacing w:after="0"/>
              <w:jc w:val="center"/>
              <w:rPr>
                <w:rFonts w:eastAsia="Times New Roman"/>
                <w:b/>
                <w:sz w:val="24"/>
                <w:szCs w:val="24"/>
              </w:rPr>
            </w:pPr>
            <w:r w:rsidRPr="00D33B85">
              <w:rPr>
                <w:rFonts w:eastAsia="Times New Roman"/>
                <w:b/>
                <w:sz w:val="24"/>
                <w:szCs w:val="24"/>
              </w:rPr>
              <w:t>TỔNG</w:t>
            </w:r>
          </w:p>
        </w:tc>
        <w:tc>
          <w:tcPr>
            <w:tcW w:w="2409" w:type="dxa"/>
            <w:shd w:val="clear" w:color="auto" w:fill="auto"/>
            <w:noWrap/>
            <w:vAlign w:val="center"/>
            <w:hideMark/>
          </w:tcPr>
          <w:p w14:paraId="1864C2F3" w14:textId="77777777" w:rsidR="00AD6E40" w:rsidRPr="00D33B85" w:rsidRDefault="00AD6E40" w:rsidP="00883AF9">
            <w:pPr>
              <w:spacing w:after="0"/>
              <w:ind w:firstLineChars="100" w:firstLine="241"/>
              <w:jc w:val="right"/>
              <w:rPr>
                <w:rFonts w:eastAsia="Times New Roman"/>
                <w:b/>
                <w:sz w:val="24"/>
                <w:szCs w:val="24"/>
              </w:rPr>
            </w:pPr>
            <w:r w:rsidRPr="00D33B85">
              <w:rPr>
                <w:rFonts w:eastAsia="Times New Roman"/>
                <w:b/>
                <w:sz w:val="24"/>
                <w:szCs w:val="24"/>
              </w:rPr>
              <w:t xml:space="preserve">280.629 </w:t>
            </w:r>
          </w:p>
        </w:tc>
      </w:tr>
    </w:tbl>
    <w:p w14:paraId="1653A4C7" w14:textId="3D44D62B" w:rsidR="00AD6E40" w:rsidRDefault="00AD6E40"/>
    <w:p w14:paraId="7FB4D505" w14:textId="77777777" w:rsidR="00AD6E40" w:rsidRPr="00CE20EE" w:rsidRDefault="00AD6E40">
      <w:pPr>
        <w:rPr>
          <w:b/>
          <w:bCs/>
        </w:rPr>
      </w:pPr>
      <w:r w:rsidRPr="00CE20EE">
        <w:rPr>
          <w:b/>
          <w:bCs/>
        </w:rPr>
        <w:t>3.</w:t>
      </w:r>
      <w:r w:rsidRPr="00CE20EE">
        <w:rPr>
          <w:b/>
          <w:bCs/>
        </w:rPr>
        <w:t xml:space="preserve"> Về c</w:t>
      </w:r>
      <w:r w:rsidRPr="00CE20EE">
        <w:rPr>
          <w:b/>
          <w:bCs/>
        </w:rPr>
        <w:t xml:space="preserve">ung cấp nhiên liệu cho sản xuất điện </w:t>
      </w:r>
    </w:p>
    <w:p w14:paraId="11545C55" w14:textId="77777777" w:rsidR="00CE20EE" w:rsidRDefault="00AD6E40" w:rsidP="00AD6E40">
      <w:pPr>
        <w:jc w:val="both"/>
      </w:pPr>
      <w:r w:rsidRPr="00AD6E40">
        <w:t xml:space="preserve">- Về cung cấp than cho SX điện: Về cơ bản TKV và TCT Đông Bắc đáp ứng được tiến độ, khối lượng theo hợp đồng các bên đã ký kết. Tổng khối lượng than TKV và TCT Đông Bắc cấp tới các NMNĐ của EVN năm 2023 ước đạt 24,08 triệu tấn, bằng 95,44% so với khối lượng hợp đồng. </w:t>
      </w:r>
    </w:p>
    <w:p w14:paraId="4353C762" w14:textId="77777777" w:rsidR="00CE20EE" w:rsidRDefault="00AD6E40" w:rsidP="00AD6E40">
      <w:pPr>
        <w:jc w:val="both"/>
      </w:pPr>
      <w:r w:rsidRPr="00AD6E40">
        <w:t xml:space="preserve">- Về cung cấp, tiêu thụ khí: Năm 2023, lượng khí tiêu thụ thấp hơn so kế hoạch, trong đó: Khí Đông Nam Bộ: 4,07 tỷ m3 bằng 94,21% kế hoạch năm; Khí Tây Nam Bộ: 1,01 tỷ m3 bằng 77,69% kế hoạch năm.  </w:t>
      </w:r>
    </w:p>
    <w:p w14:paraId="7A6FBF80" w14:textId="39CAC8DD" w:rsidR="00AD6E40" w:rsidRDefault="00AD6E40" w:rsidP="00AD6E40">
      <w:pPr>
        <w:jc w:val="both"/>
      </w:pPr>
      <w:r w:rsidRPr="00AD6E40">
        <w:t>- Để đảm bảo nguồn cấp nhiên liệu cho sản xuất điện các năm tới, EVN và TKV, TCT Đông Bắc đã ký Thỏa thuận Hợp tác cung cấp than dài hạn cho các NMNĐ của EVN, theo đó TKV, TCTĐB sẽ chịu trách nhiệm cung cấp toàn bộ than cho các NMNĐ. Đồng thời, EVN đang đàm phán với PVN/PVGas để ký thỏa thuận khung việc cung cấp khí cho các nhà máy điện của EVN và EVNGENCO3 và hoàn thiện các hợp đồng liên quan (GSA, PPA) cho việc bổ sung LNG để trong trường hợp cần thiết có thể huy động ngay nhiên liệu LNG, đáp ứng đủ khí cho phát điện.</w:t>
      </w:r>
      <w:r w:rsidR="00CE20EE">
        <w:t>/.</w:t>
      </w:r>
    </w:p>
    <w:sectPr w:rsidR="00AD6E40" w:rsidSect="00317B9B">
      <w:pgSz w:w="11907" w:h="16840" w:code="9"/>
      <w:pgMar w:top="1021" w:right="1021" w:bottom="102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nClarendonH">
    <w:altName w:val="Calibri"/>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6F6EAA"/>
    <w:multiLevelType w:val="hybridMultilevel"/>
    <w:tmpl w:val="3D7C1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8813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20C"/>
    <w:rsid w:val="00317B9B"/>
    <w:rsid w:val="003456B6"/>
    <w:rsid w:val="003D63DA"/>
    <w:rsid w:val="006E14DD"/>
    <w:rsid w:val="009719F6"/>
    <w:rsid w:val="00AD6E40"/>
    <w:rsid w:val="00B8020C"/>
    <w:rsid w:val="00CE2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BFF5F"/>
  <w15:chartTrackingRefBased/>
  <w15:docId w15:val="{7782566E-6487-4850-943D-D6D5F721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020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8020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B8020C"/>
    <w:pPr>
      <w:keepNext/>
      <w:keepLines/>
      <w:spacing w:before="160" w:after="80"/>
      <w:outlineLvl w:val="2"/>
    </w:pPr>
    <w:rPr>
      <w:rFonts w:asciiTheme="minorHAnsi" w:eastAsiaTheme="majorEastAsia" w:hAnsiTheme="minorHAnsi" w:cstheme="majorBidi"/>
      <w:color w:val="0F4761" w:themeColor="accent1" w:themeShade="BF"/>
    </w:rPr>
  </w:style>
  <w:style w:type="paragraph" w:styleId="Heading4">
    <w:name w:val="heading 4"/>
    <w:basedOn w:val="Normal"/>
    <w:next w:val="Normal"/>
    <w:link w:val="Heading4Char"/>
    <w:uiPriority w:val="9"/>
    <w:unhideWhenUsed/>
    <w:qFormat/>
    <w:rsid w:val="00B8020C"/>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unhideWhenUsed/>
    <w:qFormat/>
    <w:rsid w:val="00B8020C"/>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unhideWhenUsed/>
    <w:qFormat/>
    <w:rsid w:val="00B8020C"/>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B8020C"/>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B8020C"/>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B8020C"/>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20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8020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8020C"/>
    <w:rPr>
      <w:rFonts w:asciiTheme="minorHAnsi" w:eastAsiaTheme="majorEastAsia" w:hAnsiTheme="minorHAnsi" w:cstheme="majorBidi"/>
      <w:color w:val="0F4761" w:themeColor="accent1" w:themeShade="BF"/>
    </w:rPr>
  </w:style>
  <w:style w:type="character" w:customStyle="1" w:styleId="Heading4Char">
    <w:name w:val="Heading 4 Char"/>
    <w:basedOn w:val="DefaultParagraphFont"/>
    <w:link w:val="Heading4"/>
    <w:uiPriority w:val="9"/>
    <w:semiHidden/>
    <w:rsid w:val="00B8020C"/>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rsid w:val="00B8020C"/>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B8020C"/>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B8020C"/>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B8020C"/>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B8020C"/>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B8020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02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8020C"/>
    <w:pPr>
      <w:numPr>
        <w:ilvl w:val="1"/>
      </w:numPr>
      <w:spacing w:after="160"/>
    </w:pPr>
    <w:rPr>
      <w:rFonts w:asciiTheme="minorHAnsi" w:eastAsiaTheme="majorEastAsia" w:hAnsiTheme="minorHAnsi" w:cstheme="majorBidi"/>
      <w:color w:val="595959" w:themeColor="text1" w:themeTint="A6"/>
      <w:spacing w:val="15"/>
    </w:rPr>
  </w:style>
  <w:style w:type="character" w:customStyle="1" w:styleId="SubtitleChar">
    <w:name w:val="Subtitle Char"/>
    <w:basedOn w:val="DefaultParagraphFont"/>
    <w:link w:val="Subtitle"/>
    <w:uiPriority w:val="11"/>
    <w:rsid w:val="00B8020C"/>
    <w:rPr>
      <w:rFonts w:asciiTheme="minorHAnsi" w:eastAsiaTheme="majorEastAsia" w:hAnsiTheme="minorHAnsi" w:cstheme="majorBidi"/>
      <w:color w:val="595959" w:themeColor="text1" w:themeTint="A6"/>
      <w:spacing w:val="15"/>
    </w:rPr>
  </w:style>
  <w:style w:type="paragraph" w:styleId="Quote">
    <w:name w:val="Quote"/>
    <w:basedOn w:val="Normal"/>
    <w:next w:val="Normal"/>
    <w:link w:val="QuoteChar"/>
    <w:uiPriority w:val="29"/>
    <w:qFormat/>
    <w:rsid w:val="00B8020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8020C"/>
    <w:rPr>
      <w:i/>
      <w:iCs/>
      <w:color w:val="404040" w:themeColor="text1" w:themeTint="BF"/>
    </w:rPr>
  </w:style>
  <w:style w:type="paragraph" w:styleId="ListParagraph">
    <w:name w:val="List Paragraph"/>
    <w:basedOn w:val="Normal"/>
    <w:uiPriority w:val="34"/>
    <w:qFormat/>
    <w:rsid w:val="00B8020C"/>
    <w:pPr>
      <w:ind w:left="720"/>
      <w:contextualSpacing/>
    </w:pPr>
  </w:style>
  <w:style w:type="character" w:styleId="IntenseEmphasis">
    <w:name w:val="Intense Emphasis"/>
    <w:basedOn w:val="DefaultParagraphFont"/>
    <w:uiPriority w:val="21"/>
    <w:qFormat/>
    <w:rsid w:val="00B8020C"/>
    <w:rPr>
      <w:i/>
      <w:iCs/>
      <w:color w:val="0F4761" w:themeColor="accent1" w:themeShade="BF"/>
    </w:rPr>
  </w:style>
  <w:style w:type="paragraph" w:styleId="IntenseQuote">
    <w:name w:val="Intense Quote"/>
    <w:basedOn w:val="Normal"/>
    <w:next w:val="Normal"/>
    <w:link w:val="IntenseQuoteChar"/>
    <w:uiPriority w:val="30"/>
    <w:qFormat/>
    <w:rsid w:val="00B8020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8020C"/>
    <w:rPr>
      <w:i/>
      <w:iCs/>
      <w:color w:val="0F4761" w:themeColor="accent1" w:themeShade="BF"/>
    </w:rPr>
  </w:style>
  <w:style w:type="character" w:styleId="IntenseReference">
    <w:name w:val="Intense Reference"/>
    <w:basedOn w:val="DefaultParagraphFont"/>
    <w:uiPriority w:val="32"/>
    <w:qFormat/>
    <w:rsid w:val="00B8020C"/>
    <w:rPr>
      <w:b/>
      <w:bCs/>
      <w:smallCaps/>
      <w:color w:val="0F4761" w:themeColor="accent1" w:themeShade="BF"/>
      <w:spacing w:val="5"/>
    </w:rPr>
  </w:style>
  <w:style w:type="paragraph" w:styleId="BodyText3">
    <w:name w:val="Body Text 3"/>
    <w:aliases w:val="Body Text 31 Char,Body Text 31"/>
    <w:basedOn w:val="Normal"/>
    <w:link w:val="BodyText3Char"/>
    <w:rsid w:val="00B8020C"/>
    <w:pPr>
      <w:tabs>
        <w:tab w:val="left" w:pos="907"/>
      </w:tabs>
      <w:spacing w:before="120" w:after="0"/>
      <w:jc w:val="center"/>
      <w:outlineLvl w:val="0"/>
    </w:pPr>
    <w:rPr>
      <w:rFonts w:ascii=".VnClarendonH" w:eastAsia="Times New Roman" w:hAnsi=".VnClarendonH"/>
      <w:b/>
      <w:kern w:val="0"/>
      <w:sz w:val="32"/>
      <w:szCs w:val="26"/>
      <w14:ligatures w14:val="none"/>
    </w:rPr>
  </w:style>
  <w:style w:type="character" w:customStyle="1" w:styleId="BodyText3Char">
    <w:name w:val="Body Text 3 Char"/>
    <w:aliases w:val="Body Text 31 Char Char,Body Text 31 Char1"/>
    <w:basedOn w:val="DefaultParagraphFont"/>
    <w:link w:val="BodyText3"/>
    <w:rsid w:val="00B8020C"/>
    <w:rPr>
      <w:rFonts w:ascii=".VnClarendonH" w:eastAsia="Times New Roman" w:hAnsi=".VnClarendonH"/>
      <w:b/>
      <w:kern w:val="0"/>
      <w:sz w:val="32"/>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Mai Phuong</dc:creator>
  <cp:keywords/>
  <dc:description/>
  <cp:lastModifiedBy>Trinh Mai Phuong</cp:lastModifiedBy>
  <cp:revision>1</cp:revision>
  <dcterms:created xsi:type="dcterms:W3CDTF">2024-06-11T02:00:00Z</dcterms:created>
  <dcterms:modified xsi:type="dcterms:W3CDTF">2024-06-11T02:22:00Z</dcterms:modified>
</cp:coreProperties>
</file>